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5B0" w:rsidRPr="00C016DD" w:rsidRDefault="006807F9" w:rsidP="006807F9">
      <w:pPr>
        <w:jc w:val="center"/>
        <w:rPr>
          <w:rFonts w:ascii="Century Gothic" w:hAnsi="Century Gothic"/>
        </w:rPr>
      </w:pPr>
      <w:bookmarkStart w:id="0" w:name="_GoBack"/>
      <w:bookmarkEnd w:id="0"/>
      <w:r w:rsidRPr="00C016DD">
        <w:rPr>
          <w:rFonts w:ascii="Century Gothic" w:hAnsi="Century Gothic"/>
        </w:rPr>
        <w:t>NOTAS A LOS ESTADOS FINANCIEROS</w:t>
      </w:r>
    </w:p>
    <w:p w:rsidR="006807F9" w:rsidRPr="00C016DD" w:rsidRDefault="00BB6961" w:rsidP="006807F9">
      <w:pPr>
        <w:jc w:val="center"/>
        <w:rPr>
          <w:rFonts w:ascii="Century Gothic" w:hAnsi="Century Gothic"/>
        </w:rPr>
      </w:pPr>
      <w:r>
        <w:rPr>
          <w:rFonts w:ascii="Century Gothic" w:hAnsi="Century Gothic"/>
        </w:rPr>
        <w:t>DICIEMBRE</w:t>
      </w:r>
      <w:r w:rsidR="006807F9" w:rsidRPr="00C016DD">
        <w:rPr>
          <w:rFonts w:ascii="Century Gothic" w:hAnsi="Century Gothic"/>
        </w:rPr>
        <w:t xml:space="preserve"> DE </w:t>
      </w:r>
      <w:r w:rsidR="00312AA2" w:rsidRPr="00C016DD">
        <w:rPr>
          <w:rFonts w:ascii="Century Gothic" w:hAnsi="Century Gothic"/>
        </w:rPr>
        <w:t>202</w:t>
      </w:r>
      <w:r w:rsidR="00720070">
        <w:rPr>
          <w:rFonts w:ascii="Century Gothic" w:hAnsi="Century Gothic"/>
        </w:rPr>
        <w:t>1</w:t>
      </w:r>
    </w:p>
    <w:p w:rsidR="006807F9" w:rsidRPr="00C016DD" w:rsidRDefault="006807F9" w:rsidP="006807F9">
      <w:pPr>
        <w:jc w:val="center"/>
        <w:rPr>
          <w:rFonts w:ascii="Century Gothic" w:hAnsi="Century Gothic"/>
        </w:rPr>
      </w:pPr>
    </w:p>
    <w:p w:rsidR="006807F9" w:rsidRPr="00C016DD" w:rsidRDefault="006807F9" w:rsidP="006807F9">
      <w:pPr>
        <w:jc w:val="both"/>
        <w:rPr>
          <w:rFonts w:ascii="Century Gothic" w:hAnsi="Century Gothic"/>
        </w:rPr>
      </w:pPr>
      <w:r w:rsidRPr="00C016DD">
        <w:rPr>
          <w:rFonts w:ascii="Century Gothic" w:hAnsi="Century Gothic"/>
        </w:rPr>
        <w:t xml:space="preserve">A efecto de dar cumplimiento al Art. 46 y 49 de la ley General de Contabilidad Gubernamental, y </w:t>
      </w:r>
      <w:r w:rsidR="0056464D">
        <w:rPr>
          <w:rFonts w:ascii="Century Gothic" w:hAnsi="Century Gothic"/>
        </w:rPr>
        <w:t xml:space="preserve">la </w:t>
      </w:r>
      <w:r w:rsidRPr="00C016DD">
        <w:rPr>
          <w:rFonts w:ascii="Century Gothic" w:hAnsi="Century Gothic"/>
        </w:rPr>
        <w:t xml:space="preserve">publicación del Consejo Nacional de Armonización Contable de fecha 06 de </w:t>
      </w:r>
      <w:r w:rsidR="00CF081D">
        <w:rPr>
          <w:rFonts w:ascii="Century Gothic" w:hAnsi="Century Gothic"/>
        </w:rPr>
        <w:t>octubre</w:t>
      </w:r>
      <w:r w:rsidRPr="00C016DD">
        <w:rPr>
          <w:rFonts w:ascii="Century Gothic" w:hAnsi="Century Gothic"/>
        </w:rPr>
        <w:t xml:space="preserve"> de 2014, se presentan las Notas a los Estados Financieros, correspondientes al mes de </w:t>
      </w:r>
      <w:r w:rsidR="00BB6961">
        <w:rPr>
          <w:rFonts w:ascii="Century Gothic" w:hAnsi="Century Gothic"/>
          <w:b/>
        </w:rPr>
        <w:t>dic</w:t>
      </w:r>
      <w:r w:rsidR="00E91AE1">
        <w:rPr>
          <w:rFonts w:ascii="Century Gothic" w:hAnsi="Century Gothic"/>
          <w:b/>
        </w:rPr>
        <w:t>iembre</w:t>
      </w:r>
      <w:r w:rsidRPr="00C016DD">
        <w:rPr>
          <w:rFonts w:ascii="Century Gothic" w:hAnsi="Century Gothic"/>
        </w:rPr>
        <w:t xml:space="preserve"> del año </w:t>
      </w:r>
      <w:r w:rsidR="00312AA2" w:rsidRPr="00C016DD">
        <w:rPr>
          <w:rFonts w:ascii="Century Gothic" w:hAnsi="Century Gothic"/>
        </w:rPr>
        <w:t>202</w:t>
      </w:r>
      <w:r w:rsidR="00720070">
        <w:rPr>
          <w:rFonts w:ascii="Century Gothic" w:hAnsi="Century Gothic"/>
        </w:rPr>
        <w:t>1</w:t>
      </w:r>
      <w:r w:rsidRPr="00C016DD">
        <w:rPr>
          <w:rFonts w:ascii="Century Gothic" w:hAnsi="Century Gothic"/>
        </w:rPr>
        <w:t>.</w:t>
      </w:r>
    </w:p>
    <w:p w:rsidR="00B9550D" w:rsidRPr="00C016DD" w:rsidRDefault="00B9550D" w:rsidP="006807F9">
      <w:pPr>
        <w:jc w:val="both"/>
        <w:rPr>
          <w:rFonts w:ascii="Century Gothic" w:hAnsi="Century Gothic"/>
        </w:rPr>
      </w:pPr>
    </w:p>
    <w:p w:rsidR="00B9550D" w:rsidRPr="00C016DD" w:rsidRDefault="00B9550D" w:rsidP="00B9550D">
      <w:pPr>
        <w:pStyle w:val="Prrafodelista"/>
        <w:numPr>
          <w:ilvl w:val="0"/>
          <w:numId w:val="1"/>
        </w:numPr>
        <w:jc w:val="both"/>
        <w:rPr>
          <w:rFonts w:ascii="Century Gothic" w:hAnsi="Century Gothic"/>
          <w:b/>
        </w:rPr>
      </w:pPr>
      <w:r w:rsidRPr="00C016DD">
        <w:rPr>
          <w:rFonts w:ascii="Century Gothic" w:hAnsi="Century Gothic"/>
          <w:b/>
        </w:rPr>
        <w:t>NOTAS DE DESGLOSE</w:t>
      </w:r>
    </w:p>
    <w:p w:rsidR="00B9550D" w:rsidRPr="00C016DD" w:rsidRDefault="00B9550D" w:rsidP="00B9550D">
      <w:pPr>
        <w:jc w:val="both"/>
        <w:rPr>
          <w:rFonts w:ascii="Century Gothic" w:hAnsi="Century Gothic"/>
          <w:b/>
        </w:rPr>
      </w:pPr>
    </w:p>
    <w:p w:rsidR="00B9550D" w:rsidRPr="00C016DD" w:rsidRDefault="00B9550D" w:rsidP="00421BEF">
      <w:pPr>
        <w:pStyle w:val="Prrafodelista"/>
        <w:numPr>
          <w:ilvl w:val="0"/>
          <w:numId w:val="7"/>
        </w:numPr>
        <w:tabs>
          <w:tab w:val="left" w:pos="426"/>
        </w:tabs>
        <w:jc w:val="both"/>
        <w:rPr>
          <w:rFonts w:ascii="Century Gothic" w:hAnsi="Century Gothic"/>
          <w:b/>
        </w:rPr>
      </w:pPr>
      <w:r w:rsidRPr="00C016DD">
        <w:rPr>
          <w:rFonts w:ascii="Century Gothic" w:hAnsi="Century Gothic"/>
          <w:b/>
        </w:rPr>
        <w:t>Notas al Estado de Situación Financiera</w:t>
      </w:r>
    </w:p>
    <w:p w:rsidR="00421BEF" w:rsidRPr="00C016DD" w:rsidRDefault="00421BEF" w:rsidP="00421BEF">
      <w:pPr>
        <w:tabs>
          <w:tab w:val="left" w:pos="426"/>
        </w:tabs>
        <w:ind w:left="360"/>
        <w:jc w:val="both"/>
        <w:rPr>
          <w:rFonts w:ascii="Century Gothic" w:hAnsi="Century Gothic"/>
          <w:b/>
        </w:rPr>
      </w:pPr>
    </w:p>
    <w:p w:rsidR="00613C42" w:rsidRPr="00C016DD" w:rsidRDefault="00613C42" w:rsidP="00421BEF">
      <w:pPr>
        <w:tabs>
          <w:tab w:val="left" w:pos="426"/>
        </w:tabs>
        <w:ind w:left="360"/>
        <w:jc w:val="both"/>
        <w:rPr>
          <w:rFonts w:ascii="Century Gothic" w:hAnsi="Century Gothic"/>
          <w:b/>
        </w:rPr>
      </w:pPr>
    </w:p>
    <w:p w:rsidR="00B9550D" w:rsidRPr="00C016DD" w:rsidRDefault="00B9550D" w:rsidP="00B9550D">
      <w:pPr>
        <w:tabs>
          <w:tab w:val="left" w:pos="426"/>
        </w:tabs>
        <w:jc w:val="both"/>
        <w:rPr>
          <w:rFonts w:ascii="Century Gothic" w:hAnsi="Century Gothic"/>
          <w:b/>
        </w:rPr>
      </w:pPr>
      <w:r w:rsidRPr="00C016DD">
        <w:rPr>
          <w:rFonts w:ascii="Century Gothic" w:hAnsi="Century Gothic"/>
          <w:b/>
        </w:rPr>
        <w:t>Activo</w:t>
      </w:r>
    </w:p>
    <w:p w:rsidR="00613C42" w:rsidRPr="00C016DD" w:rsidRDefault="00613C42" w:rsidP="00B9550D">
      <w:pPr>
        <w:tabs>
          <w:tab w:val="left" w:pos="426"/>
        </w:tabs>
        <w:jc w:val="both"/>
        <w:rPr>
          <w:rFonts w:ascii="Century Gothic" w:hAnsi="Century Gothic"/>
          <w:b/>
        </w:rPr>
      </w:pPr>
    </w:p>
    <w:p w:rsidR="00B9550D" w:rsidRPr="00C016DD" w:rsidRDefault="00B9550D" w:rsidP="00B9550D">
      <w:pPr>
        <w:tabs>
          <w:tab w:val="left" w:pos="426"/>
        </w:tabs>
        <w:jc w:val="both"/>
        <w:rPr>
          <w:rFonts w:ascii="Century Gothic" w:hAnsi="Century Gothic"/>
          <w:b/>
        </w:rPr>
      </w:pPr>
      <w:r w:rsidRPr="00C016DD">
        <w:rPr>
          <w:rFonts w:ascii="Century Gothic" w:hAnsi="Century Gothic"/>
          <w:b/>
        </w:rPr>
        <w:t>Efectivo y Equivalentes</w:t>
      </w:r>
    </w:p>
    <w:p w:rsidR="002F2A1D" w:rsidRPr="00C016DD" w:rsidRDefault="002F2A1D" w:rsidP="00B9550D">
      <w:pPr>
        <w:tabs>
          <w:tab w:val="left" w:pos="426"/>
        </w:tabs>
        <w:jc w:val="both"/>
        <w:rPr>
          <w:rFonts w:ascii="Century Gothic" w:hAnsi="Century Gothic"/>
          <w:b/>
        </w:rPr>
      </w:pPr>
    </w:p>
    <w:p w:rsidR="00A47E99" w:rsidRPr="00C016DD" w:rsidRDefault="00A47E99" w:rsidP="00B9550D">
      <w:pPr>
        <w:tabs>
          <w:tab w:val="left" w:pos="426"/>
        </w:tabs>
        <w:jc w:val="both"/>
        <w:rPr>
          <w:rFonts w:ascii="Century Gothic" w:hAnsi="Century Gothic"/>
          <w:b/>
        </w:rPr>
      </w:pPr>
    </w:p>
    <w:p w:rsidR="00B9550D" w:rsidRPr="00C016DD" w:rsidRDefault="00B9550D" w:rsidP="00B9550D">
      <w:pPr>
        <w:tabs>
          <w:tab w:val="left" w:pos="426"/>
        </w:tabs>
        <w:jc w:val="both"/>
        <w:rPr>
          <w:rFonts w:ascii="Century Gothic" w:hAnsi="Century Gothic"/>
          <w:b/>
        </w:rPr>
      </w:pPr>
      <w:r w:rsidRPr="00C016DD">
        <w:rPr>
          <w:rFonts w:ascii="Century Gothic" w:hAnsi="Century Gothic"/>
          <w:b/>
        </w:rPr>
        <w:t>Efectivo</w:t>
      </w:r>
    </w:p>
    <w:p w:rsidR="002F2A1D" w:rsidRPr="00C016DD" w:rsidRDefault="002F2A1D" w:rsidP="00B9550D">
      <w:pPr>
        <w:tabs>
          <w:tab w:val="left" w:pos="426"/>
        </w:tabs>
        <w:jc w:val="both"/>
        <w:rPr>
          <w:rFonts w:ascii="Century Gothic" w:hAnsi="Century Gothic"/>
          <w:b/>
        </w:rPr>
      </w:pPr>
    </w:p>
    <w:p w:rsidR="008C67D7" w:rsidRPr="00C016DD" w:rsidRDefault="008C67D7" w:rsidP="00B9550D">
      <w:pPr>
        <w:tabs>
          <w:tab w:val="left" w:pos="426"/>
        </w:tabs>
        <w:jc w:val="both"/>
        <w:rPr>
          <w:rFonts w:ascii="Century Gothic" w:hAnsi="Century Gothic"/>
          <w:b/>
        </w:rPr>
      </w:pPr>
      <w:r w:rsidRPr="00C016DD">
        <w:rPr>
          <w:rFonts w:ascii="Century Gothic" w:hAnsi="Century Gothic"/>
          <w:b/>
        </w:rPr>
        <w:t>Bancos/Tesorería</w:t>
      </w:r>
    </w:p>
    <w:p w:rsidR="00A47E99" w:rsidRPr="00C016DD" w:rsidRDefault="00A47E99" w:rsidP="00B9550D">
      <w:pPr>
        <w:tabs>
          <w:tab w:val="left" w:pos="426"/>
        </w:tabs>
        <w:jc w:val="both"/>
        <w:rPr>
          <w:rFonts w:ascii="Century Gothic" w:hAnsi="Century Gothic"/>
        </w:rPr>
      </w:pPr>
    </w:p>
    <w:p w:rsidR="008C67D7" w:rsidRPr="00C016DD" w:rsidRDefault="008C67D7" w:rsidP="00B9550D">
      <w:pPr>
        <w:tabs>
          <w:tab w:val="left" w:pos="426"/>
        </w:tabs>
        <w:jc w:val="both"/>
        <w:rPr>
          <w:rFonts w:ascii="Century Gothic" w:hAnsi="Century Gothic"/>
        </w:rPr>
      </w:pPr>
      <w:r w:rsidRPr="00C016DD">
        <w:rPr>
          <w:rFonts w:ascii="Century Gothic" w:hAnsi="Century Gothic"/>
        </w:rPr>
        <w:t>Está constituido por una cuenta bancaria, que se describe a continuación:</w:t>
      </w:r>
    </w:p>
    <w:tbl>
      <w:tblPr>
        <w:tblStyle w:val="Tablaconcuadrcula"/>
        <w:tblW w:w="9180" w:type="dxa"/>
        <w:tblLook w:val="04A0" w:firstRow="1" w:lastRow="0" w:firstColumn="1" w:lastColumn="0" w:noHBand="0" w:noVBand="1"/>
      </w:tblPr>
      <w:tblGrid>
        <w:gridCol w:w="583"/>
        <w:gridCol w:w="1523"/>
        <w:gridCol w:w="1978"/>
        <w:gridCol w:w="1556"/>
        <w:gridCol w:w="1701"/>
        <w:gridCol w:w="1839"/>
      </w:tblGrid>
      <w:tr w:rsidR="008C67D7" w:rsidRPr="00C016DD" w:rsidTr="00393971">
        <w:tc>
          <w:tcPr>
            <w:tcW w:w="584" w:type="dxa"/>
            <w:shd w:val="clear" w:color="auto" w:fill="A6A6A6" w:themeFill="background1" w:themeFillShade="A6"/>
            <w:vAlign w:val="center"/>
          </w:tcPr>
          <w:p w:rsidR="008C67D7" w:rsidRPr="00E542BC" w:rsidRDefault="008C67D7" w:rsidP="00393971">
            <w:pPr>
              <w:tabs>
                <w:tab w:val="left" w:pos="426"/>
              </w:tabs>
              <w:jc w:val="center"/>
              <w:rPr>
                <w:rFonts w:ascii="Century Gothic" w:hAnsi="Century Gothic"/>
                <w:b/>
              </w:rPr>
            </w:pPr>
            <w:r w:rsidRPr="00E542BC">
              <w:rPr>
                <w:rFonts w:ascii="Century Gothic" w:hAnsi="Century Gothic"/>
                <w:b/>
              </w:rPr>
              <w:t>No.</w:t>
            </w:r>
          </w:p>
        </w:tc>
        <w:tc>
          <w:tcPr>
            <w:tcW w:w="1509" w:type="dxa"/>
            <w:shd w:val="clear" w:color="auto" w:fill="A6A6A6" w:themeFill="background1" w:themeFillShade="A6"/>
            <w:vAlign w:val="center"/>
          </w:tcPr>
          <w:p w:rsidR="008C67D7" w:rsidRPr="00E542BC" w:rsidRDefault="008C67D7" w:rsidP="00393971">
            <w:pPr>
              <w:tabs>
                <w:tab w:val="left" w:pos="426"/>
              </w:tabs>
              <w:jc w:val="center"/>
              <w:rPr>
                <w:rFonts w:ascii="Century Gothic" w:hAnsi="Century Gothic"/>
                <w:b/>
              </w:rPr>
            </w:pPr>
            <w:r w:rsidRPr="00E542BC">
              <w:rPr>
                <w:rFonts w:ascii="Century Gothic" w:hAnsi="Century Gothic"/>
                <w:b/>
              </w:rPr>
              <w:t>INSTITUCIÓN BANCARIA</w:t>
            </w:r>
          </w:p>
        </w:tc>
        <w:tc>
          <w:tcPr>
            <w:tcW w:w="1984" w:type="dxa"/>
            <w:shd w:val="clear" w:color="auto" w:fill="A6A6A6" w:themeFill="background1" w:themeFillShade="A6"/>
            <w:vAlign w:val="center"/>
          </w:tcPr>
          <w:p w:rsidR="008C67D7" w:rsidRPr="00E542BC" w:rsidRDefault="008C67D7" w:rsidP="00393971">
            <w:pPr>
              <w:tabs>
                <w:tab w:val="left" w:pos="426"/>
              </w:tabs>
              <w:jc w:val="center"/>
              <w:rPr>
                <w:rFonts w:ascii="Century Gothic" w:hAnsi="Century Gothic"/>
                <w:b/>
              </w:rPr>
            </w:pPr>
            <w:r w:rsidRPr="00E542BC">
              <w:rPr>
                <w:rFonts w:ascii="Century Gothic" w:hAnsi="Century Gothic"/>
                <w:b/>
              </w:rPr>
              <w:t>No. CONTRATO</w:t>
            </w:r>
          </w:p>
        </w:tc>
        <w:tc>
          <w:tcPr>
            <w:tcW w:w="1560" w:type="dxa"/>
            <w:shd w:val="clear" w:color="auto" w:fill="A6A6A6" w:themeFill="background1" w:themeFillShade="A6"/>
            <w:vAlign w:val="center"/>
          </w:tcPr>
          <w:p w:rsidR="008C67D7" w:rsidRPr="00E542BC" w:rsidRDefault="008C67D7" w:rsidP="00393971">
            <w:pPr>
              <w:tabs>
                <w:tab w:val="left" w:pos="426"/>
              </w:tabs>
              <w:jc w:val="center"/>
              <w:rPr>
                <w:rFonts w:ascii="Century Gothic" w:hAnsi="Century Gothic"/>
                <w:b/>
              </w:rPr>
            </w:pPr>
            <w:r w:rsidRPr="00E542BC">
              <w:rPr>
                <w:rFonts w:ascii="Century Gothic" w:hAnsi="Century Gothic"/>
                <w:b/>
              </w:rPr>
              <w:t>TIPO DE CUENTA</w:t>
            </w:r>
          </w:p>
        </w:tc>
        <w:tc>
          <w:tcPr>
            <w:tcW w:w="1701" w:type="dxa"/>
            <w:shd w:val="clear" w:color="auto" w:fill="A6A6A6" w:themeFill="background1" w:themeFillShade="A6"/>
            <w:vAlign w:val="center"/>
          </w:tcPr>
          <w:p w:rsidR="008C67D7" w:rsidRPr="00E542BC" w:rsidRDefault="00393971" w:rsidP="00393971">
            <w:pPr>
              <w:tabs>
                <w:tab w:val="left" w:pos="426"/>
              </w:tabs>
              <w:jc w:val="center"/>
              <w:rPr>
                <w:rFonts w:ascii="Century Gothic" w:hAnsi="Century Gothic"/>
                <w:b/>
              </w:rPr>
            </w:pPr>
            <w:r w:rsidRPr="00E542BC">
              <w:rPr>
                <w:rFonts w:ascii="Century Gothic" w:hAnsi="Century Gothic"/>
                <w:b/>
              </w:rPr>
              <w:t>TIPO DE RECURSO</w:t>
            </w:r>
          </w:p>
        </w:tc>
        <w:tc>
          <w:tcPr>
            <w:tcW w:w="1842" w:type="dxa"/>
            <w:shd w:val="clear" w:color="auto" w:fill="A6A6A6" w:themeFill="background1" w:themeFillShade="A6"/>
            <w:vAlign w:val="center"/>
          </w:tcPr>
          <w:p w:rsidR="008C67D7" w:rsidRPr="00E542BC" w:rsidRDefault="00393971" w:rsidP="001B0762">
            <w:pPr>
              <w:tabs>
                <w:tab w:val="left" w:pos="426"/>
              </w:tabs>
              <w:jc w:val="center"/>
              <w:rPr>
                <w:rFonts w:ascii="Century Gothic" w:hAnsi="Century Gothic"/>
                <w:b/>
              </w:rPr>
            </w:pPr>
            <w:r w:rsidRPr="00E542BC">
              <w:rPr>
                <w:rFonts w:ascii="Century Gothic" w:hAnsi="Century Gothic"/>
                <w:b/>
              </w:rPr>
              <w:t xml:space="preserve">SALDO AL </w:t>
            </w:r>
            <w:r w:rsidR="00A22CA9" w:rsidRPr="00E542BC">
              <w:rPr>
                <w:rFonts w:ascii="Century Gothic" w:hAnsi="Century Gothic"/>
                <w:b/>
              </w:rPr>
              <w:t>3</w:t>
            </w:r>
            <w:r w:rsidR="00BB6961">
              <w:rPr>
                <w:rFonts w:ascii="Century Gothic" w:hAnsi="Century Gothic"/>
                <w:b/>
              </w:rPr>
              <w:t>1</w:t>
            </w:r>
            <w:r w:rsidR="005454D2" w:rsidRPr="00E542BC">
              <w:rPr>
                <w:rFonts w:ascii="Century Gothic" w:hAnsi="Century Gothic"/>
                <w:b/>
              </w:rPr>
              <w:t xml:space="preserve"> </w:t>
            </w:r>
            <w:r w:rsidR="00A11A8E" w:rsidRPr="00E542BC">
              <w:rPr>
                <w:rFonts w:ascii="Century Gothic" w:hAnsi="Century Gothic"/>
                <w:b/>
              </w:rPr>
              <w:t>DE</w:t>
            </w:r>
            <w:r w:rsidR="0020499F" w:rsidRPr="00E542BC">
              <w:rPr>
                <w:rFonts w:ascii="Century Gothic" w:hAnsi="Century Gothic"/>
                <w:b/>
              </w:rPr>
              <w:t xml:space="preserve"> </w:t>
            </w:r>
            <w:r w:rsidR="00BB6961">
              <w:rPr>
                <w:rFonts w:ascii="Century Gothic" w:hAnsi="Century Gothic"/>
                <w:b/>
              </w:rPr>
              <w:t>DIC</w:t>
            </w:r>
            <w:r w:rsidR="001B0762">
              <w:rPr>
                <w:rFonts w:ascii="Century Gothic" w:hAnsi="Century Gothic"/>
                <w:b/>
              </w:rPr>
              <w:t>IEMBRE</w:t>
            </w:r>
          </w:p>
        </w:tc>
      </w:tr>
      <w:tr w:rsidR="008C67D7" w:rsidRPr="00C016DD" w:rsidTr="00393971">
        <w:tc>
          <w:tcPr>
            <w:tcW w:w="584" w:type="dxa"/>
            <w:vAlign w:val="center"/>
          </w:tcPr>
          <w:p w:rsidR="008C67D7" w:rsidRPr="00C016DD" w:rsidRDefault="008C67D7" w:rsidP="00393971">
            <w:pPr>
              <w:tabs>
                <w:tab w:val="left" w:pos="426"/>
              </w:tabs>
              <w:jc w:val="center"/>
              <w:rPr>
                <w:rFonts w:ascii="Century Gothic" w:hAnsi="Century Gothic"/>
              </w:rPr>
            </w:pPr>
            <w:r w:rsidRPr="00C016DD">
              <w:rPr>
                <w:rFonts w:ascii="Century Gothic" w:hAnsi="Century Gothic"/>
              </w:rPr>
              <w:t>1</w:t>
            </w:r>
          </w:p>
        </w:tc>
        <w:tc>
          <w:tcPr>
            <w:tcW w:w="1509" w:type="dxa"/>
            <w:vAlign w:val="center"/>
          </w:tcPr>
          <w:p w:rsidR="008C67D7" w:rsidRPr="00C016DD" w:rsidRDefault="008C67D7" w:rsidP="00393971">
            <w:pPr>
              <w:tabs>
                <w:tab w:val="left" w:pos="426"/>
              </w:tabs>
              <w:jc w:val="center"/>
              <w:rPr>
                <w:rFonts w:ascii="Century Gothic" w:hAnsi="Century Gothic"/>
              </w:rPr>
            </w:pPr>
            <w:r w:rsidRPr="00C016DD">
              <w:rPr>
                <w:rFonts w:ascii="Century Gothic" w:hAnsi="Century Gothic"/>
              </w:rPr>
              <w:t>Banamex</w:t>
            </w:r>
          </w:p>
        </w:tc>
        <w:tc>
          <w:tcPr>
            <w:tcW w:w="1984" w:type="dxa"/>
            <w:vAlign w:val="center"/>
          </w:tcPr>
          <w:p w:rsidR="008C67D7" w:rsidRPr="00C016DD" w:rsidRDefault="008C67D7" w:rsidP="00393971">
            <w:pPr>
              <w:tabs>
                <w:tab w:val="left" w:pos="426"/>
              </w:tabs>
              <w:jc w:val="center"/>
              <w:rPr>
                <w:rFonts w:ascii="Century Gothic" w:hAnsi="Century Gothic"/>
              </w:rPr>
            </w:pPr>
            <w:r w:rsidRPr="00C016DD">
              <w:rPr>
                <w:rFonts w:ascii="Century Gothic" w:hAnsi="Century Gothic"/>
              </w:rPr>
              <w:t>106769-7</w:t>
            </w:r>
          </w:p>
        </w:tc>
        <w:tc>
          <w:tcPr>
            <w:tcW w:w="1560" w:type="dxa"/>
            <w:vAlign w:val="center"/>
          </w:tcPr>
          <w:p w:rsidR="008C67D7" w:rsidRPr="00C016DD" w:rsidRDefault="008C67D7" w:rsidP="00393971">
            <w:pPr>
              <w:tabs>
                <w:tab w:val="left" w:pos="426"/>
              </w:tabs>
              <w:jc w:val="center"/>
              <w:rPr>
                <w:rFonts w:ascii="Century Gothic" w:hAnsi="Century Gothic"/>
              </w:rPr>
            </w:pPr>
            <w:r w:rsidRPr="00C016DD">
              <w:rPr>
                <w:rFonts w:ascii="Century Gothic" w:hAnsi="Century Gothic"/>
              </w:rPr>
              <w:t>Contrato de Inversión</w:t>
            </w:r>
          </w:p>
        </w:tc>
        <w:tc>
          <w:tcPr>
            <w:tcW w:w="1701" w:type="dxa"/>
            <w:vAlign w:val="center"/>
          </w:tcPr>
          <w:p w:rsidR="008C67D7" w:rsidRPr="00C016DD" w:rsidRDefault="00393971" w:rsidP="00393971">
            <w:pPr>
              <w:tabs>
                <w:tab w:val="left" w:pos="426"/>
              </w:tabs>
              <w:jc w:val="center"/>
              <w:rPr>
                <w:rFonts w:ascii="Century Gothic" w:hAnsi="Century Gothic"/>
              </w:rPr>
            </w:pPr>
            <w:r w:rsidRPr="00C016DD">
              <w:rPr>
                <w:rFonts w:ascii="Century Gothic" w:hAnsi="Century Gothic"/>
              </w:rPr>
              <w:t>Aportaciones Estatales</w:t>
            </w:r>
          </w:p>
        </w:tc>
        <w:tc>
          <w:tcPr>
            <w:tcW w:w="1842" w:type="dxa"/>
            <w:vAlign w:val="center"/>
          </w:tcPr>
          <w:p w:rsidR="008C67D7" w:rsidRPr="00C016DD" w:rsidRDefault="00393971" w:rsidP="00BB6961">
            <w:pPr>
              <w:tabs>
                <w:tab w:val="left" w:pos="426"/>
              </w:tabs>
              <w:jc w:val="center"/>
              <w:rPr>
                <w:rFonts w:ascii="Century Gothic" w:hAnsi="Century Gothic"/>
              </w:rPr>
            </w:pPr>
            <w:r w:rsidRPr="00C016DD">
              <w:rPr>
                <w:rFonts w:ascii="Century Gothic" w:hAnsi="Century Gothic"/>
              </w:rPr>
              <w:t xml:space="preserve">$ </w:t>
            </w:r>
            <w:r w:rsidR="004930FE">
              <w:rPr>
                <w:rFonts w:ascii="Century Gothic" w:hAnsi="Century Gothic"/>
              </w:rPr>
              <w:t>3</w:t>
            </w:r>
            <w:r w:rsidR="00681A7E" w:rsidRPr="00C016DD">
              <w:rPr>
                <w:rFonts w:ascii="Century Gothic" w:hAnsi="Century Gothic"/>
              </w:rPr>
              <w:t>’</w:t>
            </w:r>
            <w:r w:rsidR="00D40793">
              <w:rPr>
                <w:rFonts w:ascii="Century Gothic" w:hAnsi="Century Gothic"/>
              </w:rPr>
              <w:t>1</w:t>
            </w:r>
            <w:r w:rsidR="00BB6961">
              <w:rPr>
                <w:rFonts w:ascii="Century Gothic" w:hAnsi="Century Gothic"/>
              </w:rPr>
              <w:t>86,678.09</w:t>
            </w:r>
          </w:p>
        </w:tc>
      </w:tr>
    </w:tbl>
    <w:p w:rsidR="00D616AE" w:rsidRPr="00C016DD" w:rsidRDefault="00D616AE" w:rsidP="00B9550D">
      <w:pPr>
        <w:tabs>
          <w:tab w:val="left" w:pos="426"/>
        </w:tabs>
        <w:jc w:val="both"/>
        <w:rPr>
          <w:rFonts w:ascii="Century Gothic" w:hAnsi="Century Gothic"/>
        </w:rPr>
      </w:pPr>
    </w:p>
    <w:p w:rsidR="00393971" w:rsidRPr="00C016DD" w:rsidRDefault="00D5602A" w:rsidP="00B9550D">
      <w:pPr>
        <w:tabs>
          <w:tab w:val="left" w:pos="426"/>
        </w:tabs>
        <w:jc w:val="both"/>
        <w:rPr>
          <w:rFonts w:ascii="Century Gothic" w:hAnsi="Century Gothic"/>
        </w:rPr>
      </w:pPr>
      <w:r w:rsidRPr="00C016DD">
        <w:rPr>
          <w:rFonts w:ascii="Century Gothic" w:hAnsi="Century Gothic"/>
        </w:rPr>
        <w:t>Los recursos de esta cuenta son para sufragar los gastos de op</w:t>
      </w:r>
      <w:r w:rsidR="008E1669" w:rsidRPr="00C016DD">
        <w:rPr>
          <w:rFonts w:ascii="Century Gothic" w:hAnsi="Century Gothic"/>
        </w:rPr>
        <w:t>eración del Fideicomiso Teatro Mariano M</w:t>
      </w:r>
      <w:r w:rsidRPr="00C016DD">
        <w:rPr>
          <w:rFonts w:ascii="Century Gothic" w:hAnsi="Century Gothic"/>
        </w:rPr>
        <w:t>atamoros.</w:t>
      </w:r>
    </w:p>
    <w:p w:rsidR="00D5602A" w:rsidRPr="00C016DD" w:rsidRDefault="00D5602A" w:rsidP="00B9550D">
      <w:pPr>
        <w:tabs>
          <w:tab w:val="left" w:pos="426"/>
        </w:tabs>
        <w:jc w:val="both"/>
        <w:rPr>
          <w:rFonts w:ascii="Century Gothic" w:hAnsi="Century Gothic"/>
          <w:b/>
        </w:rPr>
      </w:pPr>
      <w:r w:rsidRPr="00C016DD">
        <w:rPr>
          <w:rFonts w:ascii="Century Gothic" w:hAnsi="Century Gothic"/>
          <w:b/>
        </w:rPr>
        <w:lastRenderedPageBreak/>
        <w:t>Derechos a recibir Efectivo y Equivalentes en Bienes o Servicios.</w:t>
      </w:r>
    </w:p>
    <w:p w:rsidR="002302B8" w:rsidRPr="002302B8" w:rsidRDefault="002302B8" w:rsidP="00B9550D">
      <w:pPr>
        <w:tabs>
          <w:tab w:val="left" w:pos="426"/>
        </w:tabs>
        <w:jc w:val="both"/>
        <w:rPr>
          <w:rFonts w:ascii="Century Gothic" w:hAnsi="Century Gothic"/>
        </w:rPr>
      </w:pPr>
      <w:r>
        <w:rPr>
          <w:rFonts w:ascii="Century Gothic" w:hAnsi="Century Gothic"/>
        </w:rPr>
        <w:t xml:space="preserve">Se registra cuenta por cobrar a cargo de la Secretaría de Finanzas y Administración del Gobierno del Estado según el oficio número SFA/DOF/DFSP-597/2019 emitido por el Director de Operación Financiera de la Secretaría de Finanzas y Administración </w:t>
      </w:r>
      <w:r w:rsidR="006768AF">
        <w:rPr>
          <w:rFonts w:ascii="Century Gothic" w:hAnsi="Century Gothic"/>
        </w:rPr>
        <w:t xml:space="preserve">donde nos remite copia del oficio número SFA-DC-4196/2019 suscrito por el Director de Contabilidad de la Secretaría de Finanzas y Administración mediante el cual informa sobre el estado que guardan los Documentos de Ejecución Presupuestaria y Pago del Fideicomiso de Inversión y Administración “Fideicomiso Teatro Mariano Matamoros” identificado con el número 106769-7 encontrándose el DEEP 00774-7 de fecha 28//12/2011 </w:t>
      </w:r>
      <w:r>
        <w:rPr>
          <w:rFonts w:ascii="Century Gothic" w:hAnsi="Century Gothic"/>
        </w:rPr>
        <w:t>por un importe de $</w:t>
      </w:r>
      <w:r w:rsidR="00A41F71">
        <w:rPr>
          <w:rFonts w:ascii="Century Gothic" w:hAnsi="Century Gothic"/>
        </w:rPr>
        <w:t xml:space="preserve"> </w:t>
      </w:r>
      <w:r w:rsidR="00BF7730">
        <w:rPr>
          <w:rFonts w:ascii="Century Gothic" w:hAnsi="Century Gothic"/>
        </w:rPr>
        <w:t>64’</w:t>
      </w:r>
      <w:r>
        <w:rPr>
          <w:rFonts w:ascii="Century Gothic" w:hAnsi="Century Gothic"/>
        </w:rPr>
        <w:t>500</w:t>
      </w:r>
      <w:r w:rsidR="00BF7730">
        <w:rPr>
          <w:rFonts w:ascii="Century Gothic" w:hAnsi="Century Gothic"/>
        </w:rPr>
        <w:t>,000</w:t>
      </w:r>
      <w:r>
        <w:rPr>
          <w:rFonts w:ascii="Century Gothic" w:hAnsi="Century Gothic"/>
        </w:rPr>
        <w:t>.00 (sesenta y cuatro millones quinientos mil pesos 00/100 M.N.)</w:t>
      </w:r>
    </w:p>
    <w:p w:rsidR="00421BEF" w:rsidRPr="002302B8" w:rsidRDefault="00421BEF" w:rsidP="00B9550D">
      <w:pPr>
        <w:tabs>
          <w:tab w:val="left" w:pos="426"/>
        </w:tabs>
        <w:jc w:val="both"/>
        <w:rPr>
          <w:rFonts w:ascii="Century Gothic" w:hAnsi="Century Gothic"/>
        </w:rPr>
      </w:pPr>
    </w:p>
    <w:p w:rsidR="00D5602A" w:rsidRPr="00C016DD" w:rsidRDefault="00BD07E3" w:rsidP="00B9550D">
      <w:pPr>
        <w:tabs>
          <w:tab w:val="left" w:pos="426"/>
        </w:tabs>
        <w:jc w:val="both"/>
        <w:rPr>
          <w:rFonts w:ascii="Century Gothic" w:hAnsi="Century Gothic"/>
          <w:b/>
        </w:rPr>
      </w:pPr>
      <w:r w:rsidRPr="00C016DD">
        <w:rPr>
          <w:rFonts w:ascii="Century Gothic" w:hAnsi="Century Gothic"/>
          <w:b/>
        </w:rPr>
        <w:t>Deudores Diversos</w:t>
      </w:r>
      <w:r w:rsidR="00D5602A" w:rsidRPr="00C016DD">
        <w:rPr>
          <w:rFonts w:ascii="Century Gothic" w:hAnsi="Century Gothic"/>
          <w:b/>
        </w:rPr>
        <w:t xml:space="preserve"> a Corto Plazo</w:t>
      </w:r>
    </w:p>
    <w:p w:rsidR="00E058F4" w:rsidRPr="00C016DD" w:rsidRDefault="00E058F4" w:rsidP="00B9550D">
      <w:pPr>
        <w:tabs>
          <w:tab w:val="left" w:pos="426"/>
        </w:tabs>
        <w:jc w:val="both"/>
        <w:rPr>
          <w:rFonts w:ascii="Century Gothic" w:hAnsi="Century Gothic"/>
        </w:rPr>
      </w:pPr>
    </w:p>
    <w:p w:rsidR="00BD07E3" w:rsidRPr="00C016DD" w:rsidRDefault="00BD07E3" w:rsidP="00B9550D">
      <w:pPr>
        <w:tabs>
          <w:tab w:val="left" w:pos="426"/>
        </w:tabs>
        <w:jc w:val="both"/>
        <w:rPr>
          <w:rFonts w:ascii="Century Gothic" w:hAnsi="Century Gothic"/>
        </w:rPr>
      </w:pPr>
      <w:r w:rsidRPr="00C016DD">
        <w:rPr>
          <w:rFonts w:ascii="Century Gothic" w:hAnsi="Century Gothic"/>
        </w:rPr>
        <w:t>Se integra por recursos entregados en calidad de gastos a comprobar y se vienen arrastrando desde el ejercicio 2012 y su integración es la siguiente:</w:t>
      </w:r>
    </w:p>
    <w:p w:rsidR="00E058F4" w:rsidRPr="00C016DD" w:rsidRDefault="00E058F4" w:rsidP="00B9550D">
      <w:pPr>
        <w:tabs>
          <w:tab w:val="left" w:pos="426"/>
        </w:tabs>
        <w:jc w:val="both"/>
        <w:rPr>
          <w:rFonts w:ascii="Century Gothic" w:hAnsi="Century Gothic"/>
        </w:rPr>
      </w:pPr>
    </w:p>
    <w:tbl>
      <w:tblPr>
        <w:tblStyle w:val="Tablaconcuadrcula"/>
        <w:tblW w:w="0" w:type="auto"/>
        <w:tblLook w:val="04A0" w:firstRow="1" w:lastRow="0" w:firstColumn="1" w:lastColumn="0" w:noHBand="0" w:noVBand="1"/>
      </w:tblPr>
      <w:tblGrid>
        <w:gridCol w:w="1563"/>
        <w:gridCol w:w="4422"/>
        <w:gridCol w:w="2061"/>
      </w:tblGrid>
      <w:tr w:rsidR="00BD07E3" w:rsidRPr="00C016DD" w:rsidTr="00BD07E3">
        <w:tc>
          <w:tcPr>
            <w:tcW w:w="1563" w:type="dxa"/>
            <w:shd w:val="clear" w:color="auto" w:fill="A6A6A6" w:themeFill="background1" w:themeFillShade="A6"/>
          </w:tcPr>
          <w:p w:rsidR="00BD07E3" w:rsidRPr="00D50A0D" w:rsidRDefault="00BD07E3" w:rsidP="00BD07E3">
            <w:pPr>
              <w:tabs>
                <w:tab w:val="left" w:pos="426"/>
              </w:tabs>
              <w:jc w:val="center"/>
              <w:rPr>
                <w:rFonts w:ascii="Century Gothic" w:hAnsi="Century Gothic"/>
                <w:b/>
              </w:rPr>
            </w:pPr>
            <w:r w:rsidRPr="00D50A0D">
              <w:rPr>
                <w:rFonts w:ascii="Century Gothic" w:hAnsi="Century Gothic"/>
                <w:b/>
              </w:rPr>
              <w:t>Consecutivo</w:t>
            </w:r>
          </w:p>
        </w:tc>
        <w:tc>
          <w:tcPr>
            <w:tcW w:w="4422" w:type="dxa"/>
            <w:shd w:val="clear" w:color="auto" w:fill="A6A6A6" w:themeFill="background1" w:themeFillShade="A6"/>
          </w:tcPr>
          <w:p w:rsidR="00BD07E3" w:rsidRPr="00D50A0D" w:rsidRDefault="00BD07E3" w:rsidP="00BD07E3">
            <w:pPr>
              <w:tabs>
                <w:tab w:val="left" w:pos="426"/>
              </w:tabs>
              <w:jc w:val="center"/>
              <w:rPr>
                <w:rFonts w:ascii="Century Gothic" w:hAnsi="Century Gothic"/>
                <w:b/>
              </w:rPr>
            </w:pPr>
            <w:r w:rsidRPr="00D50A0D">
              <w:rPr>
                <w:rFonts w:ascii="Century Gothic" w:hAnsi="Century Gothic"/>
                <w:b/>
              </w:rPr>
              <w:t>Deudor</w:t>
            </w:r>
          </w:p>
        </w:tc>
        <w:tc>
          <w:tcPr>
            <w:tcW w:w="2061" w:type="dxa"/>
            <w:shd w:val="clear" w:color="auto" w:fill="A6A6A6" w:themeFill="background1" w:themeFillShade="A6"/>
          </w:tcPr>
          <w:p w:rsidR="00BD07E3" w:rsidRPr="00D50A0D" w:rsidRDefault="00BD07E3" w:rsidP="00BD07E3">
            <w:pPr>
              <w:tabs>
                <w:tab w:val="left" w:pos="426"/>
              </w:tabs>
              <w:jc w:val="center"/>
              <w:rPr>
                <w:rFonts w:ascii="Century Gothic" w:hAnsi="Century Gothic"/>
                <w:b/>
              </w:rPr>
            </w:pPr>
            <w:r w:rsidRPr="00D50A0D">
              <w:rPr>
                <w:rFonts w:ascii="Century Gothic" w:hAnsi="Century Gothic"/>
                <w:b/>
              </w:rPr>
              <w:t>Importe</w:t>
            </w:r>
          </w:p>
        </w:tc>
      </w:tr>
      <w:tr w:rsidR="00BD07E3" w:rsidRPr="00C016DD" w:rsidTr="00BD07E3">
        <w:tc>
          <w:tcPr>
            <w:tcW w:w="1563" w:type="dxa"/>
          </w:tcPr>
          <w:p w:rsidR="00BD07E3" w:rsidRPr="00C016DD" w:rsidRDefault="00BD07E3" w:rsidP="00BD07E3">
            <w:pPr>
              <w:tabs>
                <w:tab w:val="left" w:pos="426"/>
              </w:tabs>
              <w:jc w:val="center"/>
              <w:rPr>
                <w:rFonts w:ascii="Century Gothic" w:hAnsi="Century Gothic"/>
              </w:rPr>
            </w:pPr>
            <w:r w:rsidRPr="00C016DD">
              <w:rPr>
                <w:rFonts w:ascii="Century Gothic" w:hAnsi="Century Gothic"/>
              </w:rPr>
              <w:t>1</w:t>
            </w:r>
          </w:p>
        </w:tc>
        <w:tc>
          <w:tcPr>
            <w:tcW w:w="4422" w:type="dxa"/>
          </w:tcPr>
          <w:p w:rsidR="00BD07E3" w:rsidRPr="00C016DD" w:rsidRDefault="00BD07E3" w:rsidP="00B9550D">
            <w:pPr>
              <w:tabs>
                <w:tab w:val="left" w:pos="426"/>
              </w:tabs>
              <w:jc w:val="both"/>
              <w:rPr>
                <w:rFonts w:ascii="Century Gothic" w:hAnsi="Century Gothic"/>
              </w:rPr>
            </w:pPr>
            <w:r w:rsidRPr="00C016DD">
              <w:rPr>
                <w:rFonts w:ascii="Century Gothic" w:hAnsi="Century Gothic"/>
              </w:rPr>
              <w:t>Jorge Luis José González Gómez</w:t>
            </w:r>
          </w:p>
        </w:tc>
        <w:tc>
          <w:tcPr>
            <w:tcW w:w="2061" w:type="dxa"/>
          </w:tcPr>
          <w:p w:rsidR="00BD07E3" w:rsidRPr="00C016DD" w:rsidRDefault="00BD07E3" w:rsidP="00BD07E3">
            <w:pPr>
              <w:tabs>
                <w:tab w:val="left" w:pos="426"/>
              </w:tabs>
              <w:jc w:val="right"/>
              <w:rPr>
                <w:rFonts w:ascii="Century Gothic" w:hAnsi="Century Gothic"/>
              </w:rPr>
            </w:pPr>
            <w:r w:rsidRPr="00C016DD">
              <w:rPr>
                <w:rFonts w:ascii="Century Gothic" w:hAnsi="Century Gothic"/>
              </w:rPr>
              <w:t>$ 288.77</w:t>
            </w:r>
          </w:p>
        </w:tc>
      </w:tr>
      <w:tr w:rsidR="00BD07E3" w:rsidRPr="00C016DD" w:rsidTr="00BD07E3">
        <w:tc>
          <w:tcPr>
            <w:tcW w:w="1563" w:type="dxa"/>
          </w:tcPr>
          <w:p w:rsidR="00BD07E3" w:rsidRPr="00C016DD" w:rsidRDefault="00BD07E3" w:rsidP="00BD07E3">
            <w:pPr>
              <w:tabs>
                <w:tab w:val="left" w:pos="426"/>
              </w:tabs>
              <w:jc w:val="center"/>
              <w:rPr>
                <w:rFonts w:ascii="Century Gothic" w:hAnsi="Century Gothic"/>
              </w:rPr>
            </w:pPr>
            <w:r w:rsidRPr="00C016DD">
              <w:rPr>
                <w:rFonts w:ascii="Century Gothic" w:hAnsi="Century Gothic"/>
              </w:rPr>
              <w:t>2</w:t>
            </w:r>
          </w:p>
        </w:tc>
        <w:tc>
          <w:tcPr>
            <w:tcW w:w="4422" w:type="dxa"/>
          </w:tcPr>
          <w:p w:rsidR="00BD07E3" w:rsidRPr="00C016DD" w:rsidRDefault="00077367" w:rsidP="00B9550D">
            <w:pPr>
              <w:tabs>
                <w:tab w:val="left" w:pos="426"/>
              </w:tabs>
              <w:jc w:val="both"/>
              <w:rPr>
                <w:rFonts w:ascii="Century Gothic" w:hAnsi="Century Gothic"/>
              </w:rPr>
            </w:pPr>
            <w:r w:rsidRPr="00C016DD">
              <w:rPr>
                <w:rFonts w:ascii="Century Gothic" w:hAnsi="Century Gothic"/>
              </w:rPr>
              <w:t>Gerardo González M</w:t>
            </w:r>
            <w:r w:rsidR="00BD07E3" w:rsidRPr="00C016DD">
              <w:rPr>
                <w:rFonts w:ascii="Century Gothic" w:hAnsi="Century Gothic"/>
              </w:rPr>
              <w:t>eza Hoffmann</w:t>
            </w:r>
          </w:p>
        </w:tc>
        <w:tc>
          <w:tcPr>
            <w:tcW w:w="2061" w:type="dxa"/>
          </w:tcPr>
          <w:p w:rsidR="00BD07E3" w:rsidRPr="00C016DD" w:rsidRDefault="00BD07E3" w:rsidP="00BD07E3">
            <w:pPr>
              <w:tabs>
                <w:tab w:val="left" w:pos="426"/>
              </w:tabs>
              <w:jc w:val="right"/>
              <w:rPr>
                <w:rFonts w:ascii="Century Gothic" w:hAnsi="Century Gothic"/>
              </w:rPr>
            </w:pPr>
            <w:r w:rsidRPr="00C016DD">
              <w:rPr>
                <w:rFonts w:ascii="Century Gothic" w:hAnsi="Century Gothic"/>
              </w:rPr>
              <w:t>522.66</w:t>
            </w:r>
          </w:p>
        </w:tc>
      </w:tr>
      <w:tr w:rsidR="00BD07E3" w:rsidRPr="00C016DD" w:rsidTr="00BD07E3">
        <w:tc>
          <w:tcPr>
            <w:tcW w:w="1563" w:type="dxa"/>
          </w:tcPr>
          <w:p w:rsidR="00BD07E3" w:rsidRPr="00C016DD" w:rsidRDefault="00BD07E3" w:rsidP="00BD07E3">
            <w:pPr>
              <w:tabs>
                <w:tab w:val="left" w:pos="426"/>
              </w:tabs>
              <w:jc w:val="center"/>
              <w:rPr>
                <w:rFonts w:ascii="Century Gothic" w:hAnsi="Century Gothic"/>
              </w:rPr>
            </w:pPr>
          </w:p>
        </w:tc>
        <w:tc>
          <w:tcPr>
            <w:tcW w:w="4422" w:type="dxa"/>
          </w:tcPr>
          <w:p w:rsidR="00BD07E3" w:rsidRPr="00C016DD" w:rsidRDefault="00BD07E3" w:rsidP="00BD07E3">
            <w:pPr>
              <w:tabs>
                <w:tab w:val="left" w:pos="426"/>
              </w:tabs>
              <w:jc w:val="center"/>
              <w:rPr>
                <w:rFonts w:ascii="Century Gothic" w:hAnsi="Century Gothic"/>
                <w:b/>
              </w:rPr>
            </w:pPr>
            <w:r w:rsidRPr="00C016DD">
              <w:rPr>
                <w:rFonts w:ascii="Century Gothic" w:hAnsi="Century Gothic"/>
                <w:b/>
              </w:rPr>
              <w:t>Total</w:t>
            </w:r>
          </w:p>
        </w:tc>
        <w:tc>
          <w:tcPr>
            <w:tcW w:w="2061" w:type="dxa"/>
          </w:tcPr>
          <w:p w:rsidR="00BD07E3" w:rsidRPr="00C016DD" w:rsidRDefault="00BD07E3" w:rsidP="00BD07E3">
            <w:pPr>
              <w:tabs>
                <w:tab w:val="left" w:pos="426"/>
              </w:tabs>
              <w:jc w:val="right"/>
              <w:rPr>
                <w:rFonts w:ascii="Century Gothic" w:hAnsi="Century Gothic"/>
                <w:b/>
              </w:rPr>
            </w:pPr>
            <w:r w:rsidRPr="00C016DD">
              <w:rPr>
                <w:rFonts w:ascii="Century Gothic" w:hAnsi="Century Gothic"/>
                <w:b/>
              </w:rPr>
              <w:t>$ 811.43</w:t>
            </w:r>
          </w:p>
        </w:tc>
      </w:tr>
    </w:tbl>
    <w:p w:rsidR="00BD07E3" w:rsidRPr="00C016DD" w:rsidRDefault="00BD07E3" w:rsidP="00B9550D">
      <w:pPr>
        <w:tabs>
          <w:tab w:val="left" w:pos="426"/>
        </w:tabs>
        <w:jc w:val="both"/>
        <w:rPr>
          <w:rFonts w:ascii="Century Gothic" w:hAnsi="Century Gothic"/>
        </w:rPr>
      </w:pPr>
    </w:p>
    <w:p w:rsidR="00E058F4" w:rsidRPr="00C016DD" w:rsidRDefault="00E058F4" w:rsidP="00B9550D">
      <w:pPr>
        <w:tabs>
          <w:tab w:val="left" w:pos="426"/>
        </w:tabs>
        <w:jc w:val="both"/>
        <w:rPr>
          <w:rFonts w:ascii="Century Gothic" w:hAnsi="Century Gothic"/>
        </w:rPr>
      </w:pPr>
    </w:p>
    <w:p w:rsidR="00BD07E3" w:rsidRPr="00C016DD" w:rsidRDefault="00BD07E3" w:rsidP="00B9550D">
      <w:pPr>
        <w:tabs>
          <w:tab w:val="left" w:pos="426"/>
        </w:tabs>
        <w:jc w:val="both"/>
        <w:rPr>
          <w:rFonts w:ascii="Century Gothic" w:hAnsi="Century Gothic"/>
          <w:b/>
        </w:rPr>
      </w:pPr>
      <w:r w:rsidRPr="00C016DD">
        <w:rPr>
          <w:rFonts w:ascii="Century Gothic" w:hAnsi="Century Gothic"/>
          <w:b/>
        </w:rPr>
        <w:t>Anticipo a Contratistas por Obras públicas</w:t>
      </w:r>
    </w:p>
    <w:p w:rsidR="00D5602A" w:rsidRPr="00C016DD" w:rsidRDefault="00032310" w:rsidP="00B9550D">
      <w:pPr>
        <w:tabs>
          <w:tab w:val="left" w:pos="426"/>
        </w:tabs>
        <w:jc w:val="both"/>
        <w:rPr>
          <w:rFonts w:ascii="Century Gothic" w:hAnsi="Century Gothic"/>
        </w:rPr>
      </w:pPr>
      <w:r w:rsidRPr="00C016DD">
        <w:rPr>
          <w:rFonts w:ascii="Century Gothic" w:hAnsi="Century Gothic"/>
        </w:rPr>
        <w:t xml:space="preserve">Representa los anticipos entregados a contratistas y que están pendientes de amortizar </w:t>
      </w:r>
      <w:r w:rsidR="00E85545" w:rsidRPr="00C016DD">
        <w:rPr>
          <w:rFonts w:ascii="Century Gothic" w:hAnsi="Century Gothic"/>
        </w:rPr>
        <w:t xml:space="preserve">y que se registraron en forma directa con cargo a la construcción en proceso y su integración es la siguiente: </w:t>
      </w:r>
    </w:p>
    <w:p w:rsidR="002F2A1D" w:rsidRPr="00C016DD" w:rsidRDefault="002F2A1D" w:rsidP="00B9550D">
      <w:pPr>
        <w:tabs>
          <w:tab w:val="left" w:pos="426"/>
        </w:tabs>
        <w:jc w:val="both"/>
        <w:rPr>
          <w:rFonts w:ascii="Century Gothic" w:hAnsi="Century Gothic"/>
        </w:rPr>
      </w:pPr>
    </w:p>
    <w:tbl>
      <w:tblPr>
        <w:tblStyle w:val="Tablaconcuadrcula"/>
        <w:tblW w:w="0" w:type="auto"/>
        <w:tblLook w:val="04A0" w:firstRow="1" w:lastRow="0" w:firstColumn="1" w:lastColumn="0" w:noHBand="0" w:noVBand="1"/>
      </w:tblPr>
      <w:tblGrid>
        <w:gridCol w:w="1563"/>
        <w:gridCol w:w="4422"/>
        <w:gridCol w:w="2061"/>
      </w:tblGrid>
      <w:tr w:rsidR="00E85545" w:rsidRPr="00C016DD" w:rsidTr="00EE7D97">
        <w:tc>
          <w:tcPr>
            <w:tcW w:w="1563" w:type="dxa"/>
            <w:shd w:val="clear" w:color="auto" w:fill="A6A6A6" w:themeFill="background1" w:themeFillShade="A6"/>
            <w:vAlign w:val="center"/>
          </w:tcPr>
          <w:p w:rsidR="00E85545" w:rsidRPr="00D50A0D" w:rsidRDefault="00E85545" w:rsidP="00EE7D97">
            <w:pPr>
              <w:tabs>
                <w:tab w:val="left" w:pos="426"/>
              </w:tabs>
              <w:jc w:val="center"/>
              <w:rPr>
                <w:rFonts w:ascii="Century Gothic" w:hAnsi="Century Gothic"/>
                <w:b/>
              </w:rPr>
            </w:pPr>
            <w:r w:rsidRPr="00D50A0D">
              <w:rPr>
                <w:rFonts w:ascii="Century Gothic" w:hAnsi="Century Gothic"/>
                <w:b/>
              </w:rPr>
              <w:t>Consecutivo</w:t>
            </w:r>
          </w:p>
        </w:tc>
        <w:tc>
          <w:tcPr>
            <w:tcW w:w="4422" w:type="dxa"/>
            <w:shd w:val="clear" w:color="auto" w:fill="A6A6A6" w:themeFill="background1" w:themeFillShade="A6"/>
            <w:vAlign w:val="center"/>
          </w:tcPr>
          <w:p w:rsidR="00E85545" w:rsidRPr="00D50A0D" w:rsidRDefault="00E85545" w:rsidP="00EE7D97">
            <w:pPr>
              <w:tabs>
                <w:tab w:val="left" w:pos="426"/>
              </w:tabs>
              <w:jc w:val="center"/>
              <w:rPr>
                <w:rFonts w:ascii="Century Gothic" w:hAnsi="Century Gothic"/>
                <w:b/>
              </w:rPr>
            </w:pPr>
            <w:r w:rsidRPr="00D50A0D">
              <w:rPr>
                <w:rFonts w:ascii="Century Gothic" w:hAnsi="Century Gothic"/>
                <w:b/>
              </w:rPr>
              <w:t>Contratista</w:t>
            </w:r>
          </w:p>
        </w:tc>
        <w:tc>
          <w:tcPr>
            <w:tcW w:w="2061" w:type="dxa"/>
            <w:shd w:val="clear" w:color="auto" w:fill="A6A6A6" w:themeFill="background1" w:themeFillShade="A6"/>
            <w:vAlign w:val="center"/>
          </w:tcPr>
          <w:p w:rsidR="00E85545" w:rsidRPr="00D50A0D" w:rsidRDefault="00E85545" w:rsidP="00EE7D97">
            <w:pPr>
              <w:tabs>
                <w:tab w:val="left" w:pos="426"/>
              </w:tabs>
              <w:jc w:val="center"/>
              <w:rPr>
                <w:rFonts w:ascii="Century Gothic" w:hAnsi="Century Gothic"/>
                <w:b/>
              </w:rPr>
            </w:pPr>
            <w:r w:rsidRPr="00D50A0D">
              <w:rPr>
                <w:rFonts w:ascii="Century Gothic" w:hAnsi="Century Gothic"/>
                <w:b/>
              </w:rPr>
              <w:t>Anticipo por Amortizar</w:t>
            </w:r>
          </w:p>
        </w:tc>
      </w:tr>
      <w:tr w:rsidR="00E85545" w:rsidRPr="00C016DD" w:rsidTr="000E7352">
        <w:tc>
          <w:tcPr>
            <w:tcW w:w="1563" w:type="dxa"/>
            <w:vAlign w:val="center"/>
          </w:tcPr>
          <w:p w:rsidR="00E85545" w:rsidRPr="00C016DD" w:rsidRDefault="00FD39E4" w:rsidP="00FD39E4">
            <w:pPr>
              <w:tabs>
                <w:tab w:val="left" w:pos="426"/>
              </w:tabs>
              <w:jc w:val="center"/>
              <w:rPr>
                <w:rFonts w:ascii="Century Gothic" w:hAnsi="Century Gothic"/>
              </w:rPr>
            </w:pPr>
            <w:r>
              <w:rPr>
                <w:rFonts w:ascii="Century Gothic" w:hAnsi="Century Gothic"/>
              </w:rPr>
              <w:t>1</w:t>
            </w:r>
          </w:p>
        </w:tc>
        <w:tc>
          <w:tcPr>
            <w:tcW w:w="4422" w:type="dxa"/>
            <w:vAlign w:val="center"/>
          </w:tcPr>
          <w:p w:rsidR="00E85545" w:rsidRPr="00C016DD" w:rsidRDefault="00E85545" w:rsidP="000E7352">
            <w:pPr>
              <w:tabs>
                <w:tab w:val="left" w:pos="426"/>
              </w:tabs>
              <w:jc w:val="both"/>
              <w:rPr>
                <w:rFonts w:ascii="Century Gothic" w:hAnsi="Century Gothic"/>
              </w:rPr>
            </w:pPr>
            <w:r w:rsidRPr="00C016DD">
              <w:rPr>
                <w:rFonts w:ascii="Century Gothic" w:hAnsi="Century Gothic"/>
              </w:rPr>
              <w:t>Grupo BAYSA, S.A. de C.V.</w:t>
            </w:r>
          </w:p>
        </w:tc>
        <w:tc>
          <w:tcPr>
            <w:tcW w:w="2061" w:type="dxa"/>
            <w:vAlign w:val="center"/>
          </w:tcPr>
          <w:p w:rsidR="00E85545" w:rsidRPr="00C016DD" w:rsidRDefault="00E85545" w:rsidP="000E7352">
            <w:pPr>
              <w:tabs>
                <w:tab w:val="left" w:pos="426"/>
              </w:tabs>
              <w:jc w:val="right"/>
              <w:rPr>
                <w:rFonts w:ascii="Century Gothic" w:hAnsi="Century Gothic"/>
              </w:rPr>
            </w:pPr>
            <w:r w:rsidRPr="00C016DD">
              <w:rPr>
                <w:rFonts w:ascii="Century Gothic" w:hAnsi="Century Gothic"/>
              </w:rPr>
              <w:t>1’032,475.35</w:t>
            </w:r>
          </w:p>
        </w:tc>
      </w:tr>
      <w:tr w:rsidR="00E85545" w:rsidRPr="00C016DD" w:rsidTr="000E7352">
        <w:tc>
          <w:tcPr>
            <w:tcW w:w="1563" w:type="dxa"/>
            <w:vAlign w:val="center"/>
          </w:tcPr>
          <w:p w:rsidR="00E85545" w:rsidRPr="00C016DD" w:rsidRDefault="00FD39E4" w:rsidP="000E7352">
            <w:pPr>
              <w:tabs>
                <w:tab w:val="left" w:pos="426"/>
              </w:tabs>
              <w:jc w:val="center"/>
              <w:rPr>
                <w:rFonts w:ascii="Century Gothic" w:hAnsi="Century Gothic"/>
              </w:rPr>
            </w:pPr>
            <w:r>
              <w:rPr>
                <w:rFonts w:ascii="Century Gothic" w:hAnsi="Century Gothic"/>
              </w:rPr>
              <w:t>2</w:t>
            </w:r>
          </w:p>
        </w:tc>
        <w:tc>
          <w:tcPr>
            <w:tcW w:w="4422" w:type="dxa"/>
            <w:vAlign w:val="center"/>
          </w:tcPr>
          <w:p w:rsidR="00E85545" w:rsidRPr="00C016DD" w:rsidRDefault="00E85545" w:rsidP="000E7352">
            <w:pPr>
              <w:tabs>
                <w:tab w:val="left" w:pos="426"/>
              </w:tabs>
              <w:jc w:val="both"/>
              <w:rPr>
                <w:rFonts w:ascii="Century Gothic" w:hAnsi="Century Gothic"/>
              </w:rPr>
            </w:pPr>
            <w:r w:rsidRPr="00C016DD">
              <w:rPr>
                <w:rFonts w:ascii="Century Gothic" w:hAnsi="Century Gothic"/>
              </w:rPr>
              <w:t>Objeto 1, S.A. de C.V.</w:t>
            </w:r>
          </w:p>
        </w:tc>
        <w:tc>
          <w:tcPr>
            <w:tcW w:w="2061" w:type="dxa"/>
            <w:vAlign w:val="center"/>
          </w:tcPr>
          <w:p w:rsidR="00E85545" w:rsidRPr="00C016DD" w:rsidRDefault="00E85545" w:rsidP="000E7352">
            <w:pPr>
              <w:tabs>
                <w:tab w:val="left" w:pos="426"/>
              </w:tabs>
              <w:jc w:val="right"/>
              <w:rPr>
                <w:rFonts w:ascii="Century Gothic" w:hAnsi="Century Gothic"/>
              </w:rPr>
            </w:pPr>
            <w:r w:rsidRPr="00C016DD">
              <w:rPr>
                <w:rFonts w:ascii="Century Gothic" w:hAnsi="Century Gothic"/>
              </w:rPr>
              <w:t>1’068,603.60</w:t>
            </w:r>
          </w:p>
        </w:tc>
      </w:tr>
      <w:tr w:rsidR="00E85545" w:rsidRPr="00C016DD" w:rsidTr="000E7352">
        <w:tc>
          <w:tcPr>
            <w:tcW w:w="1563" w:type="dxa"/>
            <w:vAlign w:val="center"/>
          </w:tcPr>
          <w:p w:rsidR="00E85545" w:rsidRPr="00C016DD" w:rsidRDefault="00FD39E4" w:rsidP="000E7352">
            <w:pPr>
              <w:tabs>
                <w:tab w:val="left" w:pos="426"/>
              </w:tabs>
              <w:jc w:val="center"/>
              <w:rPr>
                <w:rFonts w:ascii="Century Gothic" w:hAnsi="Century Gothic"/>
              </w:rPr>
            </w:pPr>
            <w:r>
              <w:rPr>
                <w:rFonts w:ascii="Century Gothic" w:hAnsi="Century Gothic"/>
              </w:rPr>
              <w:t>3</w:t>
            </w:r>
          </w:p>
        </w:tc>
        <w:tc>
          <w:tcPr>
            <w:tcW w:w="4422" w:type="dxa"/>
            <w:vAlign w:val="center"/>
          </w:tcPr>
          <w:p w:rsidR="00E85545" w:rsidRPr="00C016DD" w:rsidRDefault="00E85545" w:rsidP="000E7352">
            <w:pPr>
              <w:tabs>
                <w:tab w:val="left" w:pos="426"/>
              </w:tabs>
              <w:jc w:val="both"/>
              <w:rPr>
                <w:rFonts w:ascii="Century Gothic" w:hAnsi="Century Gothic"/>
              </w:rPr>
            </w:pPr>
            <w:r w:rsidRPr="00C016DD">
              <w:rPr>
                <w:rFonts w:ascii="Century Gothic" w:hAnsi="Century Gothic"/>
              </w:rPr>
              <w:t>Acciones Grupo de Oro, S.A. de C.V.</w:t>
            </w:r>
          </w:p>
        </w:tc>
        <w:tc>
          <w:tcPr>
            <w:tcW w:w="2061" w:type="dxa"/>
            <w:vAlign w:val="center"/>
          </w:tcPr>
          <w:p w:rsidR="00E85545" w:rsidRPr="00C016DD" w:rsidRDefault="00E85545" w:rsidP="000E7352">
            <w:pPr>
              <w:tabs>
                <w:tab w:val="left" w:pos="426"/>
              </w:tabs>
              <w:jc w:val="right"/>
              <w:rPr>
                <w:rFonts w:ascii="Century Gothic" w:hAnsi="Century Gothic"/>
              </w:rPr>
            </w:pPr>
            <w:r w:rsidRPr="00C016DD">
              <w:rPr>
                <w:rFonts w:ascii="Century Gothic" w:hAnsi="Century Gothic"/>
              </w:rPr>
              <w:t>6’636,246.56</w:t>
            </w:r>
          </w:p>
        </w:tc>
      </w:tr>
      <w:tr w:rsidR="00E85545" w:rsidRPr="00C016DD" w:rsidTr="000E7352">
        <w:tc>
          <w:tcPr>
            <w:tcW w:w="1563" w:type="dxa"/>
            <w:vAlign w:val="center"/>
          </w:tcPr>
          <w:p w:rsidR="00E85545" w:rsidRPr="00C016DD" w:rsidRDefault="00E85545" w:rsidP="000E7352">
            <w:pPr>
              <w:tabs>
                <w:tab w:val="left" w:pos="426"/>
              </w:tabs>
              <w:jc w:val="center"/>
              <w:rPr>
                <w:rFonts w:ascii="Century Gothic" w:hAnsi="Century Gothic"/>
              </w:rPr>
            </w:pPr>
          </w:p>
        </w:tc>
        <w:tc>
          <w:tcPr>
            <w:tcW w:w="4422" w:type="dxa"/>
            <w:vAlign w:val="center"/>
          </w:tcPr>
          <w:p w:rsidR="00E85545" w:rsidRPr="00C016DD" w:rsidRDefault="00E85545" w:rsidP="000E7352">
            <w:pPr>
              <w:tabs>
                <w:tab w:val="left" w:pos="426"/>
              </w:tabs>
              <w:jc w:val="center"/>
              <w:rPr>
                <w:rFonts w:ascii="Century Gothic" w:hAnsi="Century Gothic"/>
                <w:b/>
              </w:rPr>
            </w:pPr>
            <w:r w:rsidRPr="00C016DD">
              <w:rPr>
                <w:rFonts w:ascii="Century Gothic" w:hAnsi="Century Gothic"/>
                <w:b/>
              </w:rPr>
              <w:t>Total</w:t>
            </w:r>
          </w:p>
        </w:tc>
        <w:tc>
          <w:tcPr>
            <w:tcW w:w="2061" w:type="dxa"/>
            <w:vAlign w:val="center"/>
          </w:tcPr>
          <w:p w:rsidR="00E85545" w:rsidRPr="00C016DD" w:rsidRDefault="00E85545" w:rsidP="00C31062">
            <w:pPr>
              <w:tabs>
                <w:tab w:val="left" w:pos="426"/>
              </w:tabs>
              <w:jc w:val="right"/>
              <w:rPr>
                <w:rFonts w:ascii="Century Gothic" w:hAnsi="Century Gothic"/>
                <w:b/>
              </w:rPr>
            </w:pPr>
            <w:r w:rsidRPr="00C016DD">
              <w:rPr>
                <w:rFonts w:ascii="Century Gothic" w:hAnsi="Century Gothic"/>
                <w:b/>
              </w:rPr>
              <w:t>$</w:t>
            </w:r>
            <w:r w:rsidR="00882A3F">
              <w:rPr>
                <w:rFonts w:ascii="Century Gothic" w:hAnsi="Century Gothic"/>
                <w:b/>
              </w:rPr>
              <w:t xml:space="preserve"> </w:t>
            </w:r>
            <w:r w:rsidRPr="00C016DD">
              <w:rPr>
                <w:rFonts w:ascii="Century Gothic" w:hAnsi="Century Gothic"/>
                <w:b/>
              </w:rPr>
              <w:t xml:space="preserve"> 8’</w:t>
            </w:r>
            <w:r w:rsidR="00C31062">
              <w:rPr>
                <w:rFonts w:ascii="Century Gothic" w:hAnsi="Century Gothic"/>
                <w:b/>
              </w:rPr>
              <w:t>737</w:t>
            </w:r>
            <w:r w:rsidRPr="00C016DD">
              <w:rPr>
                <w:rFonts w:ascii="Century Gothic" w:hAnsi="Century Gothic"/>
                <w:b/>
              </w:rPr>
              <w:t>,</w:t>
            </w:r>
            <w:r w:rsidR="00C31062">
              <w:rPr>
                <w:rFonts w:ascii="Century Gothic" w:hAnsi="Century Gothic"/>
                <w:b/>
              </w:rPr>
              <w:t>325</w:t>
            </w:r>
            <w:r w:rsidRPr="00C016DD">
              <w:rPr>
                <w:rFonts w:ascii="Century Gothic" w:hAnsi="Century Gothic"/>
                <w:b/>
              </w:rPr>
              <w:t>.</w:t>
            </w:r>
            <w:r w:rsidR="00C31062">
              <w:rPr>
                <w:rFonts w:ascii="Century Gothic" w:hAnsi="Century Gothic"/>
                <w:b/>
              </w:rPr>
              <w:t>51</w:t>
            </w:r>
          </w:p>
        </w:tc>
      </w:tr>
    </w:tbl>
    <w:p w:rsidR="00B9550D" w:rsidRPr="00C016DD" w:rsidRDefault="000E7352" w:rsidP="00B9550D">
      <w:pPr>
        <w:tabs>
          <w:tab w:val="left" w:pos="426"/>
        </w:tabs>
        <w:jc w:val="both"/>
        <w:rPr>
          <w:rFonts w:ascii="Century Gothic" w:hAnsi="Century Gothic"/>
        </w:rPr>
      </w:pPr>
      <w:r w:rsidRPr="00C016DD">
        <w:rPr>
          <w:rFonts w:ascii="Century Gothic" w:hAnsi="Century Gothic"/>
          <w:b/>
        </w:rPr>
        <w:t>Bienes Muebles, Inmuebles e Intangibles</w:t>
      </w:r>
    </w:p>
    <w:p w:rsidR="00A47E99" w:rsidRPr="00C016DD" w:rsidRDefault="00A47E99" w:rsidP="00B9550D">
      <w:pPr>
        <w:tabs>
          <w:tab w:val="left" w:pos="426"/>
        </w:tabs>
        <w:jc w:val="both"/>
        <w:rPr>
          <w:rFonts w:ascii="Century Gothic" w:hAnsi="Century Gothic"/>
        </w:rPr>
      </w:pPr>
    </w:p>
    <w:p w:rsidR="000E7352" w:rsidRPr="00C016DD" w:rsidRDefault="000E7352" w:rsidP="00B9550D">
      <w:pPr>
        <w:tabs>
          <w:tab w:val="left" w:pos="426"/>
        </w:tabs>
        <w:jc w:val="both"/>
        <w:rPr>
          <w:rFonts w:ascii="Century Gothic" w:hAnsi="Century Gothic"/>
        </w:rPr>
      </w:pPr>
      <w:r w:rsidRPr="00C016DD">
        <w:rPr>
          <w:rFonts w:ascii="Century Gothic" w:hAnsi="Century Gothic"/>
        </w:rPr>
        <w:t>Este rubro se integra como sigue:</w:t>
      </w:r>
    </w:p>
    <w:p w:rsidR="00A47E99" w:rsidRPr="00C016DD" w:rsidRDefault="00A47E99" w:rsidP="00B9550D">
      <w:pPr>
        <w:tabs>
          <w:tab w:val="left" w:pos="426"/>
        </w:tabs>
        <w:jc w:val="both"/>
        <w:rPr>
          <w:rFonts w:ascii="Century Gothic" w:hAnsi="Century Gothic"/>
        </w:rPr>
      </w:pPr>
    </w:p>
    <w:tbl>
      <w:tblPr>
        <w:tblStyle w:val="Tablaconcuadrcula"/>
        <w:tblW w:w="0" w:type="auto"/>
        <w:tblLayout w:type="fixed"/>
        <w:tblLook w:val="04A0" w:firstRow="1" w:lastRow="0" w:firstColumn="1" w:lastColumn="0" w:noHBand="0" w:noVBand="1"/>
      </w:tblPr>
      <w:tblGrid>
        <w:gridCol w:w="5070"/>
        <w:gridCol w:w="1984"/>
        <w:gridCol w:w="1985"/>
      </w:tblGrid>
      <w:tr w:rsidR="000D1E14" w:rsidRPr="00C016DD" w:rsidTr="00E542BC">
        <w:tc>
          <w:tcPr>
            <w:tcW w:w="5070" w:type="dxa"/>
            <w:shd w:val="clear" w:color="auto" w:fill="A6A6A6" w:themeFill="background1" w:themeFillShade="A6"/>
            <w:vAlign w:val="center"/>
          </w:tcPr>
          <w:p w:rsidR="000D1E14" w:rsidRPr="00C016DD" w:rsidRDefault="000D1E14" w:rsidP="008730FD">
            <w:pPr>
              <w:tabs>
                <w:tab w:val="left" w:pos="426"/>
              </w:tabs>
              <w:jc w:val="both"/>
              <w:rPr>
                <w:rFonts w:ascii="Century Gothic" w:hAnsi="Century Gothic"/>
                <w:b/>
              </w:rPr>
            </w:pPr>
            <w:r w:rsidRPr="00C016DD">
              <w:rPr>
                <w:rFonts w:ascii="Century Gothic" w:hAnsi="Century Gothic"/>
                <w:b/>
              </w:rPr>
              <w:t>Construcciones en proceso en bienes propios</w:t>
            </w:r>
          </w:p>
        </w:tc>
        <w:tc>
          <w:tcPr>
            <w:tcW w:w="1984" w:type="dxa"/>
            <w:shd w:val="clear" w:color="auto" w:fill="A6A6A6" w:themeFill="background1" w:themeFillShade="A6"/>
            <w:vAlign w:val="center"/>
          </w:tcPr>
          <w:p w:rsidR="000D1E14" w:rsidRPr="00C016DD" w:rsidRDefault="000D1E14" w:rsidP="008730FD">
            <w:pPr>
              <w:tabs>
                <w:tab w:val="left" w:pos="426"/>
              </w:tabs>
              <w:jc w:val="right"/>
              <w:rPr>
                <w:rFonts w:ascii="Century Gothic" w:hAnsi="Century Gothic"/>
                <w:b/>
              </w:rPr>
            </w:pPr>
          </w:p>
        </w:tc>
        <w:tc>
          <w:tcPr>
            <w:tcW w:w="1985" w:type="dxa"/>
            <w:shd w:val="clear" w:color="auto" w:fill="A6A6A6" w:themeFill="background1" w:themeFillShade="A6"/>
            <w:vAlign w:val="center"/>
          </w:tcPr>
          <w:p w:rsidR="000D1E14" w:rsidRPr="00C016DD" w:rsidRDefault="000D1E14" w:rsidP="002B553A">
            <w:pPr>
              <w:tabs>
                <w:tab w:val="left" w:pos="426"/>
              </w:tabs>
              <w:jc w:val="right"/>
              <w:rPr>
                <w:rFonts w:ascii="Century Gothic" w:hAnsi="Century Gothic"/>
                <w:b/>
              </w:rPr>
            </w:pPr>
            <w:r w:rsidRPr="00C016DD">
              <w:rPr>
                <w:rFonts w:ascii="Century Gothic" w:hAnsi="Century Gothic"/>
                <w:b/>
              </w:rPr>
              <w:t>$</w:t>
            </w:r>
            <w:r w:rsidR="00201B59" w:rsidRPr="00C016DD">
              <w:rPr>
                <w:rFonts w:ascii="Century Gothic" w:hAnsi="Century Gothic"/>
                <w:b/>
              </w:rPr>
              <w:t xml:space="preserve"> </w:t>
            </w:r>
            <w:r w:rsidR="000C5973">
              <w:rPr>
                <w:rFonts w:ascii="Century Gothic" w:hAnsi="Century Gothic"/>
                <w:b/>
              </w:rPr>
              <w:t>143’</w:t>
            </w:r>
            <w:r w:rsidR="000C5973" w:rsidRPr="000C5973">
              <w:rPr>
                <w:rFonts w:ascii="Century Gothic" w:hAnsi="Century Gothic"/>
                <w:b/>
              </w:rPr>
              <w:t>933,386.77</w:t>
            </w:r>
          </w:p>
        </w:tc>
      </w:tr>
      <w:tr w:rsidR="005143D7" w:rsidRPr="00C016DD" w:rsidTr="005143D7">
        <w:tc>
          <w:tcPr>
            <w:tcW w:w="5070" w:type="dxa"/>
            <w:shd w:val="clear" w:color="auto" w:fill="auto"/>
            <w:vAlign w:val="center"/>
          </w:tcPr>
          <w:p w:rsidR="000D1E14" w:rsidRPr="00C016DD" w:rsidRDefault="000D1E14" w:rsidP="008730FD">
            <w:pPr>
              <w:tabs>
                <w:tab w:val="left" w:pos="426"/>
              </w:tabs>
              <w:jc w:val="both"/>
              <w:rPr>
                <w:rFonts w:ascii="Century Gothic" w:hAnsi="Century Gothic"/>
              </w:rPr>
            </w:pPr>
            <w:r w:rsidRPr="00C016DD">
              <w:rPr>
                <w:rFonts w:ascii="Century Gothic" w:hAnsi="Century Gothic"/>
              </w:rPr>
              <w:t>Edificios, Sitios y monumentos históricos y artísticos</w:t>
            </w:r>
          </w:p>
        </w:tc>
        <w:tc>
          <w:tcPr>
            <w:tcW w:w="1984" w:type="dxa"/>
            <w:shd w:val="clear" w:color="auto" w:fill="auto"/>
            <w:vAlign w:val="center"/>
          </w:tcPr>
          <w:p w:rsidR="000D1E14" w:rsidRPr="00C016DD" w:rsidRDefault="00071B9D" w:rsidP="000C5973">
            <w:pPr>
              <w:tabs>
                <w:tab w:val="left" w:pos="426"/>
              </w:tabs>
              <w:jc w:val="right"/>
              <w:rPr>
                <w:rFonts w:ascii="Century Gothic" w:hAnsi="Century Gothic"/>
              </w:rPr>
            </w:pPr>
            <w:r w:rsidRPr="00C016DD">
              <w:rPr>
                <w:rFonts w:ascii="Century Gothic" w:hAnsi="Century Gothic"/>
              </w:rPr>
              <w:t>$119</w:t>
            </w:r>
            <w:r w:rsidR="000D1E14" w:rsidRPr="00C016DD">
              <w:rPr>
                <w:rFonts w:ascii="Century Gothic" w:hAnsi="Century Gothic"/>
              </w:rPr>
              <w:t>’</w:t>
            </w:r>
            <w:r w:rsidR="002B553A">
              <w:rPr>
                <w:rFonts w:ascii="Century Gothic" w:hAnsi="Century Gothic"/>
              </w:rPr>
              <w:t>7</w:t>
            </w:r>
            <w:r w:rsidR="000C5973">
              <w:rPr>
                <w:rFonts w:ascii="Century Gothic" w:hAnsi="Century Gothic"/>
              </w:rPr>
              <w:t>29</w:t>
            </w:r>
            <w:r w:rsidR="00554814" w:rsidRPr="00C016DD">
              <w:rPr>
                <w:rFonts w:ascii="Century Gothic" w:hAnsi="Century Gothic"/>
              </w:rPr>
              <w:t>,</w:t>
            </w:r>
            <w:r w:rsidR="000C5973">
              <w:rPr>
                <w:rFonts w:ascii="Century Gothic" w:hAnsi="Century Gothic"/>
              </w:rPr>
              <w:t>364</w:t>
            </w:r>
            <w:r w:rsidR="00554814" w:rsidRPr="00C016DD">
              <w:rPr>
                <w:rFonts w:ascii="Century Gothic" w:hAnsi="Century Gothic"/>
              </w:rPr>
              <w:t>.</w:t>
            </w:r>
            <w:r w:rsidR="000C5973">
              <w:rPr>
                <w:rFonts w:ascii="Century Gothic" w:hAnsi="Century Gothic"/>
              </w:rPr>
              <w:t>29</w:t>
            </w:r>
          </w:p>
        </w:tc>
        <w:tc>
          <w:tcPr>
            <w:tcW w:w="1985" w:type="dxa"/>
            <w:shd w:val="clear" w:color="auto" w:fill="auto"/>
            <w:vAlign w:val="center"/>
          </w:tcPr>
          <w:p w:rsidR="000D1E14" w:rsidRPr="00C016DD" w:rsidRDefault="000D1E14" w:rsidP="008730FD">
            <w:pPr>
              <w:tabs>
                <w:tab w:val="left" w:pos="426"/>
              </w:tabs>
              <w:jc w:val="right"/>
              <w:rPr>
                <w:rFonts w:ascii="Century Gothic" w:hAnsi="Century Gothic"/>
              </w:rPr>
            </w:pPr>
          </w:p>
        </w:tc>
      </w:tr>
      <w:tr w:rsidR="005143D7" w:rsidRPr="00C016DD" w:rsidTr="005143D7">
        <w:tc>
          <w:tcPr>
            <w:tcW w:w="5070" w:type="dxa"/>
            <w:vAlign w:val="center"/>
          </w:tcPr>
          <w:p w:rsidR="000D1E14" w:rsidRPr="00C016DD" w:rsidRDefault="000D1E14" w:rsidP="008730FD">
            <w:pPr>
              <w:tabs>
                <w:tab w:val="left" w:pos="426"/>
              </w:tabs>
              <w:jc w:val="both"/>
              <w:rPr>
                <w:rFonts w:ascii="Century Gothic" w:hAnsi="Century Gothic"/>
              </w:rPr>
            </w:pPr>
            <w:r w:rsidRPr="00C016DD">
              <w:rPr>
                <w:rFonts w:ascii="Century Gothic" w:hAnsi="Century Gothic"/>
              </w:rPr>
              <w:t>Equipamientos turísticos y culturales</w:t>
            </w:r>
          </w:p>
        </w:tc>
        <w:tc>
          <w:tcPr>
            <w:tcW w:w="1984" w:type="dxa"/>
            <w:vAlign w:val="center"/>
          </w:tcPr>
          <w:p w:rsidR="000D1E14" w:rsidRPr="00C016DD" w:rsidRDefault="000D1E14" w:rsidP="00EE7D97">
            <w:pPr>
              <w:tabs>
                <w:tab w:val="left" w:pos="426"/>
              </w:tabs>
              <w:jc w:val="right"/>
              <w:rPr>
                <w:rFonts w:ascii="Century Gothic" w:hAnsi="Century Gothic"/>
              </w:rPr>
            </w:pPr>
            <w:r w:rsidRPr="00C016DD">
              <w:rPr>
                <w:rFonts w:ascii="Century Gothic" w:hAnsi="Century Gothic"/>
              </w:rPr>
              <w:t>24’204,022.48</w:t>
            </w:r>
          </w:p>
        </w:tc>
        <w:tc>
          <w:tcPr>
            <w:tcW w:w="1985" w:type="dxa"/>
            <w:vAlign w:val="center"/>
          </w:tcPr>
          <w:p w:rsidR="000D1E14" w:rsidRPr="00C016DD" w:rsidRDefault="000D1E14" w:rsidP="008730FD">
            <w:pPr>
              <w:tabs>
                <w:tab w:val="left" w:pos="426"/>
              </w:tabs>
              <w:jc w:val="right"/>
              <w:rPr>
                <w:rFonts w:ascii="Century Gothic" w:hAnsi="Century Gothic"/>
              </w:rPr>
            </w:pPr>
          </w:p>
        </w:tc>
      </w:tr>
      <w:tr w:rsidR="00DA5AB4" w:rsidRPr="00C016DD" w:rsidTr="005143D7">
        <w:tc>
          <w:tcPr>
            <w:tcW w:w="5070" w:type="dxa"/>
            <w:vAlign w:val="center"/>
          </w:tcPr>
          <w:p w:rsidR="00DA5AB4" w:rsidRPr="00C016DD" w:rsidRDefault="00DA5AB4" w:rsidP="008730FD">
            <w:pPr>
              <w:tabs>
                <w:tab w:val="left" w:pos="426"/>
              </w:tabs>
              <w:jc w:val="both"/>
              <w:rPr>
                <w:rFonts w:ascii="Century Gothic" w:hAnsi="Century Gothic"/>
                <w:b/>
              </w:rPr>
            </w:pPr>
            <w:r w:rsidRPr="00C016DD">
              <w:rPr>
                <w:rFonts w:ascii="Century Gothic" w:hAnsi="Century Gothic"/>
                <w:b/>
              </w:rPr>
              <w:t>Mobiliario y equipo de administración</w:t>
            </w:r>
          </w:p>
        </w:tc>
        <w:tc>
          <w:tcPr>
            <w:tcW w:w="1984" w:type="dxa"/>
            <w:vAlign w:val="center"/>
          </w:tcPr>
          <w:p w:rsidR="00DA5AB4" w:rsidRPr="00C016DD" w:rsidRDefault="00DA5AB4" w:rsidP="008730FD">
            <w:pPr>
              <w:tabs>
                <w:tab w:val="left" w:pos="426"/>
              </w:tabs>
              <w:jc w:val="right"/>
              <w:rPr>
                <w:rFonts w:ascii="Century Gothic" w:hAnsi="Century Gothic"/>
                <w:b/>
              </w:rPr>
            </w:pPr>
          </w:p>
        </w:tc>
        <w:tc>
          <w:tcPr>
            <w:tcW w:w="1985" w:type="dxa"/>
            <w:vAlign w:val="center"/>
          </w:tcPr>
          <w:p w:rsidR="00DA5AB4" w:rsidRPr="00C016DD" w:rsidRDefault="003526E1" w:rsidP="008730FD">
            <w:pPr>
              <w:tabs>
                <w:tab w:val="left" w:pos="426"/>
              </w:tabs>
              <w:jc w:val="right"/>
              <w:rPr>
                <w:rFonts w:ascii="Century Gothic" w:hAnsi="Century Gothic"/>
                <w:b/>
              </w:rPr>
            </w:pPr>
            <w:r w:rsidRPr="00C016DD">
              <w:rPr>
                <w:rFonts w:ascii="Century Gothic" w:hAnsi="Century Gothic"/>
                <w:b/>
              </w:rPr>
              <w:t>677,802.24</w:t>
            </w:r>
          </w:p>
        </w:tc>
      </w:tr>
      <w:tr w:rsidR="005143D7" w:rsidRPr="00C016DD" w:rsidTr="005143D7">
        <w:tc>
          <w:tcPr>
            <w:tcW w:w="5070" w:type="dxa"/>
            <w:vAlign w:val="center"/>
          </w:tcPr>
          <w:p w:rsidR="00DA5AB4" w:rsidRPr="00C016DD" w:rsidRDefault="00DA5AB4" w:rsidP="008730FD">
            <w:pPr>
              <w:tabs>
                <w:tab w:val="left" w:pos="426"/>
              </w:tabs>
              <w:jc w:val="both"/>
              <w:rPr>
                <w:rFonts w:ascii="Century Gothic" w:hAnsi="Century Gothic"/>
              </w:rPr>
            </w:pPr>
            <w:r w:rsidRPr="00C016DD">
              <w:rPr>
                <w:rFonts w:ascii="Century Gothic" w:hAnsi="Century Gothic"/>
              </w:rPr>
              <w:t>Mobiliario</w:t>
            </w:r>
          </w:p>
        </w:tc>
        <w:tc>
          <w:tcPr>
            <w:tcW w:w="1984" w:type="dxa"/>
            <w:vAlign w:val="center"/>
          </w:tcPr>
          <w:p w:rsidR="00DA5AB4" w:rsidRPr="00C016DD" w:rsidRDefault="00DA5AB4" w:rsidP="00EE7D97">
            <w:pPr>
              <w:tabs>
                <w:tab w:val="left" w:pos="426"/>
              </w:tabs>
              <w:jc w:val="right"/>
              <w:rPr>
                <w:rFonts w:ascii="Century Gothic" w:hAnsi="Century Gothic"/>
              </w:rPr>
            </w:pPr>
            <w:r w:rsidRPr="00C016DD">
              <w:rPr>
                <w:rFonts w:ascii="Century Gothic" w:hAnsi="Century Gothic"/>
              </w:rPr>
              <w:t>269,232.95</w:t>
            </w:r>
          </w:p>
        </w:tc>
        <w:tc>
          <w:tcPr>
            <w:tcW w:w="1985" w:type="dxa"/>
            <w:vAlign w:val="center"/>
          </w:tcPr>
          <w:p w:rsidR="00DA5AB4" w:rsidRPr="00C016DD" w:rsidRDefault="00DA5AB4" w:rsidP="008730FD">
            <w:pPr>
              <w:tabs>
                <w:tab w:val="left" w:pos="426"/>
              </w:tabs>
              <w:jc w:val="right"/>
              <w:rPr>
                <w:rFonts w:ascii="Century Gothic" w:hAnsi="Century Gothic"/>
              </w:rPr>
            </w:pPr>
          </w:p>
        </w:tc>
      </w:tr>
      <w:tr w:rsidR="005143D7" w:rsidRPr="00C016DD" w:rsidTr="005143D7">
        <w:tc>
          <w:tcPr>
            <w:tcW w:w="5070" w:type="dxa"/>
            <w:vAlign w:val="center"/>
          </w:tcPr>
          <w:p w:rsidR="00DA5AB4" w:rsidRPr="00C016DD" w:rsidRDefault="00DA5AB4" w:rsidP="008730FD">
            <w:pPr>
              <w:tabs>
                <w:tab w:val="left" w:pos="426"/>
              </w:tabs>
              <w:jc w:val="both"/>
              <w:rPr>
                <w:rFonts w:ascii="Century Gothic" w:hAnsi="Century Gothic"/>
              </w:rPr>
            </w:pPr>
            <w:r w:rsidRPr="00C016DD">
              <w:rPr>
                <w:rFonts w:ascii="Century Gothic" w:hAnsi="Century Gothic"/>
              </w:rPr>
              <w:t>Bienes informáticos</w:t>
            </w:r>
          </w:p>
        </w:tc>
        <w:tc>
          <w:tcPr>
            <w:tcW w:w="1984" w:type="dxa"/>
            <w:vAlign w:val="center"/>
          </w:tcPr>
          <w:p w:rsidR="00DA5AB4" w:rsidRPr="00C016DD" w:rsidRDefault="003526E1" w:rsidP="003526E1">
            <w:pPr>
              <w:tabs>
                <w:tab w:val="left" w:pos="426"/>
              </w:tabs>
              <w:jc w:val="right"/>
              <w:rPr>
                <w:rFonts w:ascii="Century Gothic" w:hAnsi="Century Gothic"/>
              </w:rPr>
            </w:pPr>
            <w:r w:rsidRPr="00C016DD">
              <w:rPr>
                <w:rFonts w:ascii="Century Gothic" w:hAnsi="Century Gothic"/>
              </w:rPr>
              <w:t>408</w:t>
            </w:r>
            <w:r w:rsidR="00DA5AB4" w:rsidRPr="00C016DD">
              <w:rPr>
                <w:rFonts w:ascii="Century Gothic" w:hAnsi="Century Gothic"/>
              </w:rPr>
              <w:t>,5</w:t>
            </w:r>
            <w:r w:rsidRPr="00C016DD">
              <w:rPr>
                <w:rFonts w:ascii="Century Gothic" w:hAnsi="Century Gothic"/>
              </w:rPr>
              <w:t>69</w:t>
            </w:r>
            <w:r w:rsidR="00DA5AB4" w:rsidRPr="00C016DD">
              <w:rPr>
                <w:rFonts w:ascii="Century Gothic" w:hAnsi="Century Gothic"/>
              </w:rPr>
              <w:t>.29</w:t>
            </w:r>
          </w:p>
        </w:tc>
        <w:tc>
          <w:tcPr>
            <w:tcW w:w="1985" w:type="dxa"/>
            <w:vAlign w:val="center"/>
          </w:tcPr>
          <w:p w:rsidR="00DA5AB4" w:rsidRPr="00C016DD" w:rsidRDefault="00DA5AB4" w:rsidP="008730FD">
            <w:pPr>
              <w:tabs>
                <w:tab w:val="left" w:pos="426"/>
              </w:tabs>
              <w:jc w:val="right"/>
              <w:rPr>
                <w:rFonts w:ascii="Century Gothic" w:hAnsi="Century Gothic"/>
              </w:rPr>
            </w:pPr>
          </w:p>
        </w:tc>
      </w:tr>
      <w:tr w:rsidR="005143D7" w:rsidRPr="00C016DD" w:rsidTr="005143D7">
        <w:tc>
          <w:tcPr>
            <w:tcW w:w="5070" w:type="dxa"/>
            <w:vAlign w:val="center"/>
          </w:tcPr>
          <w:p w:rsidR="00DA5AB4" w:rsidRPr="00C016DD" w:rsidRDefault="00DA5AB4" w:rsidP="008730FD">
            <w:pPr>
              <w:tabs>
                <w:tab w:val="left" w:pos="426"/>
              </w:tabs>
              <w:jc w:val="both"/>
              <w:rPr>
                <w:rFonts w:ascii="Century Gothic" w:hAnsi="Century Gothic"/>
                <w:b/>
              </w:rPr>
            </w:pPr>
            <w:r w:rsidRPr="00C016DD">
              <w:rPr>
                <w:rFonts w:ascii="Century Gothic" w:hAnsi="Century Gothic"/>
                <w:b/>
              </w:rPr>
              <w:t>Mobiliario y equipo educacional y recreativo</w:t>
            </w:r>
          </w:p>
        </w:tc>
        <w:tc>
          <w:tcPr>
            <w:tcW w:w="1984" w:type="dxa"/>
            <w:vAlign w:val="center"/>
          </w:tcPr>
          <w:p w:rsidR="00DA5AB4" w:rsidRPr="00C016DD" w:rsidRDefault="00DA5AB4" w:rsidP="008730FD">
            <w:pPr>
              <w:tabs>
                <w:tab w:val="left" w:pos="426"/>
              </w:tabs>
              <w:jc w:val="right"/>
              <w:rPr>
                <w:rFonts w:ascii="Century Gothic" w:hAnsi="Century Gothic"/>
                <w:b/>
              </w:rPr>
            </w:pPr>
          </w:p>
        </w:tc>
        <w:tc>
          <w:tcPr>
            <w:tcW w:w="1985" w:type="dxa"/>
            <w:vAlign w:val="center"/>
          </w:tcPr>
          <w:p w:rsidR="00DA5AB4" w:rsidRPr="00C016DD" w:rsidRDefault="00DA5AB4" w:rsidP="008730FD">
            <w:pPr>
              <w:tabs>
                <w:tab w:val="left" w:pos="426"/>
              </w:tabs>
              <w:jc w:val="right"/>
              <w:rPr>
                <w:rFonts w:ascii="Century Gothic" w:hAnsi="Century Gothic"/>
                <w:b/>
              </w:rPr>
            </w:pPr>
            <w:r w:rsidRPr="00C016DD">
              <w:rPr>
                <w:rFonts w:ascii="Century Gothic" w:hAnsi="Century Gothic"/>
                <w:b/>
              </w:rPr>
              <w:t>56,697.27</w:t>
            </w:r>
          </w:p>
        </w:tc>
      </w:tr>
      <w:tr w:rsidR="005143D7" w:rsidRPr="00C016DD" w:rsidTr="005143D7">
        <w:tc>
          <w:tcPr>
            <w:tcW w:w="5070" w:type="dxa"/>
            <w:vAlign w:val="center"/>
          </w:tcPr>
          <w:p w:rsidR="00DA5AB4" w:rsidRPr="00C016DD" w:rsidRDefault="00DA5AB4" w:rsidP="00DA5AB4">
            <w:pPr>
              <w:tabs>
                <w:tab w:val="left" w:pos="426"/>
              </w:tabs>
              <w:jc w:val="both"/>
              <w:rPr>
                <w:rFonts w:ascii="Century Gothic" w:hAnsi="Century Gothic"/>
                <w:b/>
              </w:rPr>
            </w:pPr>
            <w:r w:rsidRPr="00C016DD">
              <w:rPr>
                <w:rFonts w:ascii="Century Gothic" w:hAnsi="Century Gothic"/>
                <w:b/>
              </w:rPr>
              <w:t>Vehículos y equipo de transporte</w:t>
            </w:r>
          </w:p>
        </w:tc>
        <w:tc>
          <w:tcPr>
            <w:tcW w:w="1984" w:type="dxa"/>
            <w:vAlign w:val="center"/>
          </w:tcPr>
          <w:p w:rsidR="00DA5AB4" w:rsidRPr="00C016DD" w:rsidRDefault="00DA5AB4" w:rsidP="008730FD">
            <w:pPr>
              <w:tabs>
                <w:tab w:val="left" w:pos="426"/>
              </w:tabs>
              <w:jc w:val="right"/>
              <w:rPr>
                <w:rFonts w:ascii="Century Gothic" w:hAnsi="Century Gothic"/>
                <w:b/>
              </w:rPr>
            </w:pPr>
          </w:p>
        </w:tc>
        <w:tc>
          <w:tcPr>
            <w:tcW w:w="1985" w:type="dxa"/>
            <w:vAlign w:val="center"/>
          </w:tcPr>
          <w:p w:rsidR="00DA5AB4" w:rsidRPr="00C016DD" w:rsidRDefault="00DA5AB4" w:rsidP="008730FD">
            <w:pPr>
              <w:tabs>
                <w:tab w:val="left" w:pos="426"/>
              </w:tabs>
              <w:jc w:val="right"/>
              <w:rPr>
                <w:rFonts w:ascii="Century Gothic" w:hAnsi="Century Gothic"/>
                <w:b/>
              </w:rPr>
            </w:pPr>
            <w:r w:rsidRPr="00C016DD">
              <w:rPr>
                <w:rFonts w:ascii="Century Gothic" w:hAnsi="Century Gothic"/>
                <w:b/>
              </w:rPr>
              <w:t>500,000.00</w:t>
            </w:r>
          </w:p>
        </w:tc>
      </w:tr>
      <w:tr w:rsidR="00DA5AB4" w:rsidRPr="00C016DD" w:rsidTr="005143D7">
        <w:tc>
          <w:tcPr>
            <w:tcW w:w="5070" w:type="dxa"/>
            <w:vAlign w:val="center"/>
          </w:tcPr>
          <w:p w:rsidR="00DA5AB4" w:rsidRPr="00C016DD" w:rsidRDefault="00DA5AB4" w:rsidP="008730FD">
            <w:pPr>
              <w:tabs>
                <w:tab w:val="left" w:pos="426"/>
              </w:tabs>
              <w:jc w:val="both"/>
              <w:rPr>
                <w:rFonts w:ascii="Century Gothic" w:hAnsi="Century Gothic"/>
                <w:b/>
              </w:rPr>
            </w:pPr>
            <w:r w:rsidRPr="00C016DD">
              <w:rPr>
                <w:rFonts w:ascii="Century Gothic" w:hAnsi="Century Gothic"/>
                <w:b/>
              </w:rPr>
              <w:t>Software</w:t>
            </w:r>
          </w:p>
        </w:tc>
        <w:tc>
          <w:tcPr>
            <w:tcW w:w="1984" w:type="dxa"/>
            <w:vAlign w:val="center"/>
          </w:tcPr>
          <w:p w:rsidR="00DA5AB4" w:rsidRPr="00C016DD" w:rsidRDefault="00DA5AB4" w:rsidP="008730FD">
            <w:pPr>
              <w:tabs>
                <w:tab w:val="left" w:pos="426"/>
              </w:tabs>
              <w:jc w:val="right"/>
              <w:rPr>
                <w:rFonts w:ascii="Century Gothic" w:hAnsi="Century Gothic"/>
                <w:b/>
              </w:rPr>
            </w:pPr>
          </w:p>
        </w:tc>
        <w:tc>
          <w:tcPr>
            <w:tcW w:w="1985" w:type="dxa"/>
            <w:vAlign w:val="center"/>
          </w:tcPr>
          <w:p w:rsidR="00DA5AB4" w:rsidRPr="00C016DD" w:rsidRDefault="00DA5AB4" w:rsidP="002B77A9">
            <w:pPr>
              <w:tabs>
                <w:tab w:val="left" w:pos="426"/>
              </w:tabs>
              <w:jc w:val="right"/>
              <w:rPr>
                <w:rFonts w:ascii="Century Gothic" w:hAnsi="Century Gothic"/>
                <w:b/>
              </w:rPr>
            </w:pPr>
            <w:r w:rsidRPr="00C016DD">
              <w:rPr>
                <w:rFonts w:ascii="Century Gothic" w:hAnsi="Century Gothic"/>
                <w:b/>
              </w:rPr>
              <w:t>2</w:t>
            </w:r>
            <w:r w:rsidR="002B77A9">
              <w:rPr>
                <w:rFonts w:ascii="Century Gothic" w:hAnsi="Century Gothic"/>
                <w:b/>
              </w:rPr>
              <w:t>90</w:t>
            </w:r>
            <w:r w:rsidRPr="00C016DD">
              <w:rPr>
                <w:rFonts w:ascii="Century Gothic" w:hAnsi="Century Gothic"/>
                <w:b/>
              </w:rPr>
              <w:t>,0</w:t>
            </w:r>
            <w:r w:rsidR="002B77A9">
              <w:rPr>
                <w:rFonts w:ascii="Century Gothic" w:hAnsi="Century Gothic"/>
                <w:b/>
              </w:rPr>
              <w:t>00</w:t>
            </w:r>
            <w:r w:rsidRPr="00C016DD">
              <w:rPr>
                <w:rFonts w:ascii="Century Gothic" w:hAnsi="Century Gothic"/>
                <w:b/>
              </w:rPr>
              <w:t>.00</w:t>
            </w:r>
          </w:p>
        </w:tc>
      </w:tr>
      <w:tr w:rsidR="00DA5AB4" w:rsidRPr="00C016DD" w:rsidTr="005143D7">
        <w:tc>
          <w:tcPr>
            <w:tcW w:w="5070" w:type="dxa"/>
            <w:vAlign w:val="center"/>
          </w:tcPr>
          <w:p w:rsidR="00DA5AB4" w:rsidRPr="00C016DD" w:rsidRDefault="00DA5AB4" w:rsidP="008730FD">
            <w:pPr>
              <w:tabs>
                <w:tab w:val="left" w:pos="426"/>
              </w:tabs>
              <w:jc w:val="both"/>
              <w:rPr>
                <w:rFonts w:ascii="Century Gothic" w:hAnsi="Century Gothic"/>
                <w:b/>
              </w:rPr>
            </w:pPr>
            <w:r w:rsidRPr="00C016DD">
              <w:rPr>
                <w:rFonts w:ascii="Century Gothic" w:hAnsi="Century Gothic"/>
                <w:b/>
              </w:rPr>
              <w:t>Licencias</w:t>
            </w:r>
          </w:p>
        </w:tc>
        <w:tc>
          <w:tcPr>
            <w:tcW w:w="1984" w:type="dxa"/>
            <w:vAlign w:val="center"/>
          </w:tcPr>
          <w:p w:rsidR="00DA5AB4" w:rsidRPr="00C016DD" w:rsidRDefault="00DA5AB4" w:rsidP="008730FD">
            <w:pPr>
              <w:tabs>
                <w:tab w:val="left" w:pos="426"/>
              </w:tabs>
              <w:jc w:val="right"/>
              <w:rPr>
                <w:rFonts w:ascii="Century Gothic" w:hAnsi="Century Gothic"/>
                <w:b/>
              </w:rPr>
            </w:pPr>
          </w:p>
        </w:tc>
        <w:tc>
          <w:tcPr>
            <w:tcW w:w="1985" w:type="dxa"/>
            <w:vAlign w:val="center"/>
          </w:tcPr>
          <w:p w:rsidR="00DA5AB4" w:rsidRPr="00C016DD" w:rsidRDefault="00AE5901" w:rsidP="00AE5901">
            <w:pPr>
              <w:tabs>
                <w:tab w:val="left" w:pos="426"/>
              </w:tabs>
              <w:jc w:val="right"/>
              <w:rPr>
                <w:rFonts w:ascii="Century Gothic" w:hAnsi="Century Gothic"/>
                <w:b/>
              </w:rPr>
            </w:pPr>
            <w:r w:rsidRPr="00C016DD">
              <w:rPr>
                <w:rFonts w:ascii="Century Gothic" w:hAnsi="Century Gothic"/>
                <w:b/>
              </w:rPr>
              <w:t>84</w:t>
            </w:r>
            <w:r w:rsidR="00DA5AB4" w:rsidRPr="00C016DD">
              <w:rPr>
                <w:rFonts w:ascii="Century Gothic" w:hAnsi="Century Gothic"/>
                <w:b/>
              </w:rPr>
              <w:t>,</w:t>
            </w:r>
            <w:r w:rsidRPr="00C016DD">
              <w:rPr>
                <w:rFonts w:ascii="Century Gothic" w:hAnsi="Century Gothic"/>
                <w:b/>
              </w:rPr>
              <w:t>6</w:t>
            </w:r>
            <w:r w:rsidR="00DA5AB4" w:rsidRPr="00C016DD">
              <w:rPr>
                <w:rFonts w:ascii="Century Gothic" w:hAnsi="Century Gothic"/>
                <w:b/>
              </w:rPr>
              <w:t>00.00</w:t>
            </w:r>
          </w:p>
        </w:tc>
      </w:tr>
      <w:tr w:rsidR="00DA5AB4" w:rsidRPr="00C016DD" w:rsidTr="005143D7">
        <w:tc>
          <w:tcPr>
            <w:tcW w:w="5070" w:type="dxa"/>
            <w:vAlign w:val="center"/>
          </w:tcPr>
          <w:p w:rsidR="00DA5AB4" w:rsidRPr="00C016DD" w:rsidRDefault="00DA5AB4" w:rsidP="000D1E14">
            <w:pPr>
              <w:tabs>
                <w:tab w:val="left" w:pos="426"/>
              </w:tabs>
              <w:jc w:val="center"/>
              <w:rPr>
                <w:rFonts w:ascii="Century Gothic" w:hAnsi="Century Gothic"/>
                <w:b/>
              </w:rPr>
            </w:pPr>
            <w:r w:rsidRPr="00C016DD">
              <w:rPr>
                <w:rFonts w:ascii="Century Gothic" w:hAnsi="Century Gothic"/>
                <w:b/>
              </w:rPr>
              <w:t>Total</w:t>
            </w:r>
          </w:p>
        </w:tc>
        <w:tc>
          <w:tcPr>
            <w:tcW w:w="1984" w:type="dxa"/>
            <w:vAlign w:val="center"/>
          </w:tcPr>
          <w:p w:rsidR="00DA5AB4" w:rsidRPr="00C016DD" w:rsidRDefault="00DA5AB4" w:rsidP="008730FD">
            <w:pPr>
              <w:tabs>
                <w:tab w:val="left" w:pos="426"/>
              </w:tabs>
              <w:jc w:val="right"/>
              <w:rPr>
                <w:rFonts w:ascii="Century Gothic" w:hAnsi="Century Gothic"/>
                <w:b/>
              </w:rPr>
            </w:pPr>
          </w:p>
        </w:tc>
        <w:tc>
          <w:tcPr>
            <w:tcW w:w="1985" w:type="dxa"/>
            <w:vAlign w:val="center"/>
          </w:tcPr>
          <w:p w:rsidR="00DA5AB4" w:rsidRPr="00C016DD" w:rsidRDefault="00AE5901" w:rsidP="000C5973">
            <w:pPr>
              <w:jc w:val="right"/>
              <w:rPr>
                <w:rFonts w:ascii="Century Gothic" w:hAnsi="Century Gothic" w:cs="Calibri"/>
                <w:b/>
                <w:color w:val="000000"/>
              </w:rPr>
            </w:pPr>
            <w:r w:rsidRPr="00C016DD">
              <w:rPr>
                <w:rFonts w:ascii="Century Gothic" w:hAnsi="Century Gothic" w:cs="Calibri"/>
                <w:b/>
                <w:color w:val="000000"/>
              </w:rPr>
              <w:t>$</w:t>
            </w:r>
            <w:r w:rsidR="005324D8">
              <w:rPr>
                <w:rFonts w:ascii="Century Gothic" w:hAnsi="Century Gothic" w:cs="Calibri"/>
                <w:b/>
                <w:color w:val="000000"/>
              </w:rPr>
              <w:t xml:space="preserve"> </w:t>
            </w:r>
            <w:r w:rsidR="000C5973" w:rsidRPr="000C5973">
              <w:rPr>
                <w:rFonts w:ascii="Century Gothic" w:hAnsi="Century Gothic" w:cs="Calibri"/>
                <w:b/>
                <w:color w:val="000000"/>
              </w:rPr>
              <w:t>145</w:t>
            </w:r>
            <w:r w:rsidR="000C5973">
              <w:rPr>
                <w:rFonts w:ascii="Century Gothic" w:hAnsi="Century Gothic" w:cs="Calibri"/>
                <w:b/>
                <w:color w:val="000000"/>
              </w:rPr>
              <w:t>’</w:t>
            </w:r>
            <w:r w:rsidR="000C5973" w:rsidRPr="000C5973">
              <w:rPr>
                <w:rFonts w:ascii="Century Gothic" w:hAnsi="Century Gothic" w:cs="Calibri"/>
                <w:b/>
                <w:color w:val="000000"/>
              </w:rPr>
              <w:t>542,486.28</w:t>
            </w:r>
          </w:p>
        </w:tc>
      </w:tr>
    </w:tbl>
    <w:p w:rsidR="000E7352" w:rsidRPr="00C016DD" w:rsidRDefault="000E7352" w:rsidP="00B9550D">
      <w:pPr>
        <w:tabs>
          <w:tab w:val="left" w:pos="426"/>
        </w:tabs>
        <w:jc w:val="both"/>
        <w:rPr>
          <w:rFonts w:ascii="Century Gothic" w:hAnsi="Century Gothic"/>
        </w:rPr>
      </w:pPr>
    </w:p>
    <w:p w:rsidR="00304DBD" w:rsidRDefault="00304DBD" w:rsidP="005143D7">
      <w:pPr>
        <w:tabs>
          <w:tab w:val="left" w:pos="426"/>
        </w:tabs>
        <w:jc w:val="both"/>
        <w:rPr>
          <w:rFonts w:ascii="Century Gothic" w:hAnsi="Century Gothic"/>
          <w:b/>
        </w:rPr>
      </w:pPr>
    </w:p>
    <w:p w:rsidR="000E7352" w:rsidRPr="00C016DD" w:rsidRDefault="005143D7" w:rsidP="005143D7">
      <w:pPr>
        <w:tabs>
          <w:tab w:val="left" w:pos="426"/>
        </w:tabs>
        <w:jc w:val="both"/>
        <w:rPr>
          <w:rFonts w:ascii="Century Gothic" w:hAnsi="Century Gothic"/>
          <w:b/>
        </w:rPr>
      </w:pPr>
      <w:r w:rsidRPr="006B3DC8">
        <w:rPr>
          <w:rFonts w:ascii="Century Gothic" w:hAnsi="Century Gothic"/>
          <w:b/>
        </w:rPr>
        <w:t>Depreciaciones</w:t>
      </w:r>
      <w:r w:rsidR="00682B0D" w:rsidRPr="006B3DC8">
        <w:rPr>
          <w:rFonts w:ascii="Century Gothic" w:hAnsi="Century Gothic"/>
          <w:b/>
        </w:rPr>
        <w:t xml:space="preserve"> y Amortizaciones</w:t>
      </w:r>
      <w:r w:rsidRPr="006B3DC8">
        <w:rPr>
          <w:rFonts w:ascii="Century Gothic" w:hAnsi="Century Gothic"/>
          <w:b/>
        </w:rPr>
        <w:t xml:space="preserve"> Acumuladas de Bienes Muebles</w:t>
      </w:r>
      <w:r w:rsidR="00682B0D" w:rsidRPr="006B3DC8">
        <w:rPr>
          <w:rFonts w:ascii="Century Gothic" w:hAnsi="Century Gothic"/>
          <w:b/>
        </w:rPr>
        <w:t xml:space="preserve"> e Intangibles</w:t>
      </w:r>
    </w:p>
    <w:tbl>
      <w:tblPr>
        <w:tblStyle w:val="Tablaconcuadrcula"/>
        <w:tblW w:w="0" w:type="auto"/>
        <w:tblLayout w:type="fixed"/>
        <w:tblLook w:val="04A0" w:firstRow="1" w:lastRow="0" w:firstColumn="1" w:lastColumn="0" w:noHBand="0" w:noVBand="1"/>
      </w:tblPr>
      <w:tblGrid>
        <w:gridCol w:w="5070"/>
        <w:gridCol w:w="1984"/>
        <w:gridCol w:w="1985"/>
      </w:tblGrid>
      <w:tr w:rsidR="005143D7" w:rsidRPr="00C016DD" w:rsidTr="00E542BC">
        <w:tc>
          <w:tcPr>
            <w:tcW w:w="5070" w:type="dxa"/>
            <w:shd w:val="clear" w:color="auto" w:fill="A6A6A6" w:themeFill="background1" w:themeFillShade="A6"/>
            <w:vAlign w:val="center"/>
          </w:tcPr>
          <w:p w:rsidR="005143D7" w:rsidRPr="00C016DD" w:rsidRDefault="005143D7" w:rsidP="005143D7">
            <w:pPr>
              <w:tabs>
                <w:tab w:val="left" w:pos="426"/>
              </w:tabs>
              <w:jc w:val="center"/>
              <w:rPr>
                <w:rFonts w:ascii="Century Gothic" w:hAnsi="Century Gothic"/>
                <w:b/>
              </w:rPr>
            </w:pPr>
            <w:r w:rsidRPr="00C016DD">
              <w:rPr>
                <w:rFonts w:ascii="Century Gothic" w:hAnsi="Century Gothic"/>
                <w:b/>
              </w:rPr>
              <w:t>Depreciación Acumulada</w:t>
            </w:r>
          </w:p>
        </w:tc>
        <w:tc>
          <w:tcPr>
            <w:tcW w:w="1984" w:type="dxa"/>
            <w:shd w:val="clear" w:color="auto" w:fill="A6A6A6" w:themeFill="background1" w:themeFillShade="A6"/>
            <w:vAlign w:val="center"/>
          </w:tcPr>
          <w:p w:rsidR="005143D7" w:rsidRPr="00C016DD" w:rsidRDefault="005143D7" w:rsidP="005143D7">
            <w:pPr>
              <w:tabs>
                <w:tab w:val="left" w:pos="426"/>
              </w:tabs>
              <w:jc w:val="center"/>
              <w:rPr>
                <w:rFonts w:ascii="Century Gothic" w:hAnsi="Century Gothic"/>
                <w:b/>
              </w:rPr>
            </w:pPr>
            <w:r w:rsidRPr="00C016DD">
              <w:rPr>
                <w:rFonts w:ascii="Century Gothic" w:hAnsi="Century Gothic"/>
                <w:b/>
              </w:rPr>
              <w:t>Tasa de Depreciación Anual</w:t>
            </w:r>
          </w:p>
        </w:tc>
        <w:tc>
          <w:tcPr>
            <w:tcW w:w="1985" w:type="dxa"/>
            <w:shd w:val="clear" w:color="auto" w:fill="A6A6A6" w:themeFill="background1" w:themeFillShade="A6"/>
            <w:vAlign w:val="center"/>
          </w:tcPr>
          <w:p w:rsidR="005143D7" w:rsidRPr="00C016DD" w:rsidRDefault="005143D7" w:rsidP="005143D7">
            <w:pPr>
              <w:tabs>
                <w:tab w:val="left" w:pos="426"/>
              </w:tabs>
              <w:jc w:val="center"/>
              <w:rPr>
                <w:rFonts w:ascii="Century Gothic" w:hAnsi="Century Gothic"/>
                <w:b/>
              </w:rPr>
            </w:pPr>
            <w:r w:rsidRPr="00C016DD">
              <w:rPr>
                <w:rFonts w:ascii="Century Gothic" w:hAnsi="Century Gothic"/>
                <w:b/>
              </w:rPr>
              <w:t>Importe</w:t>
            </w:r>
          </w:p>
        </w:tc>
      </w:tr>
      <w:tr w:rsidR="00FE4D33" w:rsidRPr="00C016DD" w:rsidTr="007852F5">
        <w:tc>
          <w:tcPr>
            <w:tcW w:w="5070" w:type="dxa"/>
            <w:vAlign w:val="center"/>
          </w:tcPr>
          <w:p w:rsidR="00FE4D33" w:rsidRPr="00C016DD" w:rsidRDefault="00FE4D33" w:rsidP="00EE7D97">
            <w:pPr>
              <w:tabs>
                <w:tab w:val="left" w:pos="426"/>
              </w:tabs>
              <w:jc w:val="both"/>
              <w:rPr>
                <w:rFonts w:ascii="Century Gothic" w:hAnsi="Century Gothic"/>
              </w:rPr>
            </w:pPr>
            <w:r w:rsidRPr="00C016DD">
              <w:rPr>
                <w:rFonts w:ascii="Century Gothic" w:hAnsi="Century Gothic"/>
              </w:rPr>
              <w:t>Mobiliario</w:t>
            </w:r>
          </w:p>
        </w:tc>
        <w:tc>
          <w:tcPr>
            <w:tcW w:w="1984" w:type="dxa"/>
            <w:vAlign w:val="center"/>
          </w:tcPr>
          <w:p w:rsidR="00FE4D33" w:rsidRPr="00C016DD" w:rsidRDefault="00FE4D33" w:rsidP="006529E6">
            <w:pPr>
              <w:tabs>
                <w:tab w:val="left" w:pos="426"/>
              </w:tabs>
              <w:jc w:val="center"/>
              <w:rPr>
                <w:rFonts w:ascii="Century Gothic" w:hAnsi="Century Gothic"/>
              </w:rPr>
            </w:pPr>
            <w:r w:rsidRPr="00C016DD">
              <w:rPr>
                <w:rFonts w:ascii="Century Gothic" w:hAnsi="Century Gothic"/>
              </w:rPr>
              <w:t>10.00%</w:t>
            </w:r>
          </w:p>
        </w:tc>
        <w:tc>
          <w:tcPr>
            <w:tcW w:w="1985" w:type="dxa"/>
          </w:tcPr>
          <w:p w:rsidR="00FE4D33" w:rsidRPr="002C070F" w:rsidRDefault="00FE4D33" w:rsidP="00361DFA">
            <w:pPr>
              <w:jc w:val="right"/>
            </w:pPr>
            <w:r w:rsidRPr="002C070F">
              <w:t>$</w:t>
            </w:r>
            <w:r w:rsidR="00E9588B">
              <w:t xml:space="preserve">    </w:t>
            </w:r>
            <w:r w:rsidR="006040C9">
              <w:t xml:space="preserve"> </w:t>
            </w:r>
            <w:r w:rsidR="00E9588B">
              <w:t xml:space="preserve">      </w:t>
            </w:r>
            <w:r w:rsidR="006040C9">
              <w:t>22</w:t>
            </w:r>
            <w:r w:rsidR="00361DFA">
              <w:t>5</w:t>
            </w:r>
            <w:r w:rsidR="006040C9">
              <w:t>,</w:t>
            </w:r>
            <w:r w:rsidR="00361DFA">
              <w:t>460</w:t>
            </w:r>
            <w:r w:rsidR="006040C9">
              <w:t>.</w:t>
            </w:r>
            <w:r w:rsidR="00361DFA">
              <w:t>8</w:t>
            </w:r>
            <w:r w:rsidR="00D70EA8">
              <w:t>9</w:t>
            </w:r>
          </w:p>
        </w:tc>
      </w:tr>
      <w:tr w:rsidR="00FE4D33" w:rsidRPr="00C016DD" w:rsidTr="007852F5">
        <w:tc>
          <w:tcPr>
            <w:tcW w:w="5070" w:type="dxa"/>
            <w:vAlign w:val="center"/>
          </w:tcPr>
          <w:p w:rsidR="00FE4D33" w:rsidRPr="00C016DD" w:rsidRDefault="00FE4D33" w:rsidP="00EE7D97">
            <w:pPr>
              <w:tabs>
                <w:tab w:val="left" w:pos="426"/>
              </w:tabs>
              <w:jc w:val="both"/>
              <w:rPr>
                <w:rFonts w:ascii="Century Gothic" w:hAnsi="Century Gothic"/>
              </w:rPr>
            </w:pPr>
            <w:r w:rsidRPr="00C016DD">
              <w:rPr>
                <w:rFonts w:ascii="Century Gothic" w:hAnsi="Century Gothic"/>
              </w:rPr>
              <w:t>Bienes informáticos</w:t>
            </w:r>
          </w:p>
        </w:tc>
        <w:tc>
          <w:tcPr>
            <w:tcW w:w="1984" w:type="dxa"/>
            <w:vAlign w:val="center"/>
          </w:tcPr>
          <w:p w:rsidR="00FE4D33" w:rsidRPr="00C016DD" w:rsidRDefault="00FE4D33" w:rsidP="006529E6">
            <w:pPr>
              <w:tabs>
                <w:tab w:val="left" w:pos="426"/>
              </w:tabs>
              <w:jc w:val="center"/>
              <w:rPr>
                <w:rFonts w:ascii="Century Gothic" w:hAnsi="Century Gothic"/>
              </w:rPr>
            </w:pPr>
            <w:r w:rsidRPr="00C016DD">
              <w:rPr>
                <w:rFonts w:ascii="Century Gothic" w:hAnsi="Century Gothic"/>
              </w:rPr>
              <w:t>33.30%</w:t>
            </w:r>
          </w:p>
        </w:tc>
        <w:tc>
          <w:tcPr>
            <w:tcW w:w="1985" w:type="dxa"/>
          </w:tcPr>
          <w:p w:rsidR="00FE4D33" w:rsidRPr="002C070F" w:rsidRDefault="007329A0" w:rsidP="00361DFA">
            <w:pPr>
              <w:jc w:val="right"/>
            </w:pPr>
            <w:r>
              <w:t xml:space="preserve"> </w:t>
            </w:r>
            <w:r w:rsidR="00EF597C" w:rsidRPr="00EF597C">
              <w:t xml:space="preserve"> </w:t>
            </w:r>
            <w:r w:rsidR="00361DFA">
              <w:t>698</w:t>
            </w:r>
            <w:r w:rsidR="00D70EA8" w:rsidRPr="00D70EA8">
              <w:t>,</w:t>
            </w:r>
            <w:r w:rsidR="00361DFA">
              <w:t>567.46</w:t>
            </w:r>
            <w:r w:rsidR="00EF597C" w:rsidRPr="00EF597C">
              <w:t xml:space="preserve"> </w:t>
            </w:r>
            <w:r w:rsidR="00FE4D33" w:rsidRPr="002C070F">
              <w:t xml:space="preserve"> </w:t>
            </w:r>
          </w:p>
        </w:tc>
      </w:tr>
      <w:tr w:rsidR="00FE4D33" w:rsidRPr="00C016DD" w:rsidTr="007852F5">
        <w:tc>
          <w:tcPr>
            <w:tcW w:w="5070" w:type="dxa"/>
            <w:vAlign w:val="center"/>
          </w:tcPr>
          <w:p w:rsidR="00FE4D33" w:rsidRPr="00C016DD" w:rsidRDefault="00FE4D33" w:rsidP="00EE7D97">
            <w:pPr>
              <w:tabs>
                <w:tab w:val="left" w:pos="426"/>
              </w:tabs>
              <w:jc w:val="both"/>
              <w:rPr>
                <w:rFonts w:ascii="Century Gothic" w:hAnsi="Century Gothic"/>
              </w:rPr>
            </w:pPr>
            <w:r w:rsidRPr="00C016DD">
              <w:rPr>
                <w:rFonts w:ascii="Century Gothic" w:hAnsi="Century Gothic"/>
              </w:rPr>
              <w:t>Mobiliario y equipo educacional y recreativo</w:t>
            </w:r>
          </w:p>
        </w:tc>
        <w:tc>
          <w:tcPr>
            <w:tcW w:w="1984" w:type="dxa"/>
            <w:vAlign w:val="center"/>
          </w:tcPr>
          <w:p w:rsidR="00FE4D33" w:rsidRPr="00C016DD" w:rsidRDefault="00FE4D33" w:rsidP="006529E6">
            <w:pPr>
              <w:tabs>
                <w:tab w:val="left" w:pos="426"/>
              </w:tabs>
              <w:jc w:val="center"/>
              <w:rPr>
                <w:rFonts w:ascii="Century Gothic" w:hAnsi="Century Gothic"/>
              </w:rPr>
            </w:pPr>
            <w:r w:rsidRPr="00C016DD">
              <w:rPr>
                <w:rFonts w:ascii="Century Gothic" w:hAnsi="Century Gothic"/>
              </w:rPr>
              <w:t>10.00%</w:t>
            </w:r>
          </w:p>
        </w:tc>
        <w:tc>
          <w:tcPr>
            <w:tcW w:w="1985" w:type="dxa"/>
          </w:tcPr>
          <w:p w:rsidR="00FE4D33" w:rsidRPr="002C070F" w:rsidRDefault="00FE4D33" w:rsidP="00E9588B">
            <w:pPr>
              <w:jc w:val="right"/>
            </w:pPr>
            <w:r w:rsidRPr="002C070F">
              <w:t xml:space="preserve"> 56,6</w:t>
            </w:r>
            <w:r w:rsidR="00E9588B">
              <w:t>9</w:t>
            </w:r>
            <w:r w:rsidRPr="002C070F">
              <w:t>5.</w:t>
            </w:r>
            <w:r w:rsidR="00E9588B">
              <w:t>33</w:t>
            </w:r>
            <w:r w:rsidRPr="002C070F">
              <w:t xml:space="preserve"> </w:t>
            </w:r>
          </w:p>
        </w:tc>
      </w:tr>
      <w:tr w:rsidR="00FE4D33" w:rsidRPr="00C016DD" w:rsidTr="007852F5">
        <w:tc>
          <w:tcPr>
            <w:tcW w:w="5070" w:type="dxa"/>
            <w:vAlign w:val="center"/>
          </w:tcPr>
          <w:p w:rsidR="00FE4D33" w:rsidRPr="00C016DD" w:rsidRDefault="00FE4D33" w:rsidP="00EE7D97">
            <w:pPr>
              <w:tabs>
                <w:tab w:val="left" w:pos="426"/>
              </w:tabs>
              <w:jc w:val="both"/>
              <w:rPr>
                <w:rFonts w:ascii="Century Gothic" w:hAnsi="Century Gothic"/>
              </w:rPr>
            </w:pPr>
            <w:r w:rsidRPr="00C016DD">
              <w:rPr>
                <w:rFonts w:ascii="Century Gothic" w:hAnsi="Century Gothic"/>
              </w:rPr>
              <w:t>Vehículos y equipo de transporte</w:t>
            </w:r>
          </w:p>
        </w:tc>
        <w:tc>
          <w:tcPr>
            <w:tcW w:w="1984" w:type="dxa"/>
            <w:vAlign w:val="center"/>
          </w:tcPr>
          <w:p w:rsidR="00FE4D33" w:rsidRPr="00C016DD" w:rsidRDefault="00FE4D33" w:rsidP="006529E6">
            <w:pPr>
              <w:tabs>
                <w:tab w:val="left" w:pos="426"/>
              </w:tabs>
              <w:jc w:val="center"/>
              <w:rPr>
                <w:rFonts w:ascii="Century Gothic" w:hAnsi="Century Gothic"/>
              </w:rPr>
            </w:pPr>
            <w:r w:rsidRPr="00C016DD">
              <w:rPr>
                <w:rFonts w:ascii="Century Gothic" w:hAnsi="Century Gothic"/>
              </w:rPr>
              <w:t>20.00%</w:t>
            </w:r>
          </w:p>
        </w:tc>
        <w:tc>
          <w:tcPr>
            <w:tcW w:w="1985" w:type="dxa"/>
          </w:tcPr>
          <w:p w:rsidR="00FE4D33" w:rsidRPr="002C070F" w:rsidRDefault="00FE4D33" w:rsidP="00FE4D33">
            <w:pPr>
              <w:jc w:val="right"/>
            </w:pPr>
            <w:r w:rsidRPr="002C070F">
              <w:t xml:space="preserve"> 499,999.00 </w:t>
            </w:r>
          </w:p>
        </w:tc>
      </w:tr>
      <w:tr w:rsidR="00FE4D33" w:rsidRPr="00C016DD" w:rsidTr="007852F5">
        <w:tc>
          <w:tcPr>
            <w:tcW w:w="5070" w:type="dxa"/>
            <w:vAlign w:val="center"/>
          </w:tcPr>
          <w:p w:rsidR="00FE4D33" w:rsidRPr="00C016DD" w:rsidRDefault="00FE4D33" w:rsidP="00EE7D97">
            <w:pPr>
              <w:tabs>
                <w:tab w:val="left" w:pos="426"/>
              </w:tabs>
              <w:jc w:val="both"/>
              <w:rPr>
                <w:rFonts w:ascii="Century Gothic" w:hAnsi="Century Gothic"/>
              </w:rPr>
            </w:pPr>
            <w:r w:rsidRPr="00C016DD">
              <w:rPr>
                <w:rFonts w:ascii="Century Gothic" w:hAnsi="Century Gothic"/>
              </w:rPr>
              <w:t>Licencias</w:t>
            </w:r>
          </w:p>
        </w:tc>
        <w:tc>
          <w:tcPr>
            <w:tcW w:w="1984" w:type="dxa"/>
            <w:vAlign w:val="center"/>
          </w:tcPr>
          <w:p w:rsidR="00FE4D33" w:rsidRPr="00C016DD" w:rsidRDefault="00FE4D33" w:rsidP="006529E6">
            <w:pPr>
              <w:tabs>
                <w:tab w:val="left" w:pos="426"/>
              </w:tabs>
              <w:jc w:val="center"/>
              <w:rPr>
                <w:rFonts w:ascii="Century Gothic" w:hAnsi="Century Gothic"/>
              </w:rPr>
            </w:pPr>
            <w:r w:rsidRPr="00C016DD">
              <w:rPr>
                <w:rFonts w:ascii="Century Gothic" w:hAnsi="Century Gothic"/>
              </w:rPr>
              <w:t>15.00%</w:t>
            </w:r>
          </w:p>
        </w:tc>
        <w:tc>
          <w:tcPr>
            <w:tcW w:w="1985" w:type="dxa"/>
          </w:tcPr>
          <w:p w:rsidR="00FE4D33" w:rsidRDefault="00FE4D33" w:rsidP="00FE4D33">
            <w:pPr>
              <w:jc w:val="right"/>
            </w:pPr>
            <w:r w:rsidRPr="002C070F">
              <w:t xml:space="preserve"> 84,599.00 </w:t>
            </w:r>
          </w:p>
        </w:tc>
      </w:tr>
      <w:tr w:rsidR="005143D7" w:rsidRPr="00C016DD" w:rsidTr="00EE7D97">
        <w:tc>
          <w:tcPr>
            <w:tcW w:w="5070" w:type="dxa"/>
            <w:vAlign w:val="center"/>
          </w:tcPr>
          <w:p w:rsidR="005143D7" w:rsidRPr="00C016DD" w:rsidRDefault="005143D7" w:rsidP="00EE7D97">
            <w:pPr>
              <w:tabs>
                <w:tab w:val="left" w:pos="426"/>
              </w:tabs>
              <w:jc w:val="center"/>
              <w:rPr>
                <w:rFonts w:ascii="Century Gothic" w:hAnsi="Century Gothic"/>
                <w:b/>
              </w:rPr>
            </w:pPr>
            <w:r w:rsidRPr="00C016DD">
              <w:rPr>
                <w:rFonts w:ascii="Century Gothic" w:hAnsi="Century Gothic"/>
                <w:b/>
              </w:rPr>
              <w:t>Total</w:t>
            </w:r>
          </w:p>
        </w:tc>
        <w:tc>
          <w:tcPr>
            <w:tcW w:w="1984" w:type="dxa"/>
            <w:vAlign w:val="center"/>
          </w:tcPr>
          <w:p w:rsidR="005143D7" w:rsidRPr="00C016DD" w:rsidRDefault="005143D7" w:rsidP="006529E6">
            <w:pPr>
              <w:tabs>
                <w:tab w:val="left" w:pos="426"/>
              </w:tabs>
              <w:jc w:val="center"/>
              <w:rPr>
                <w:rFonts w:ascii="Century Gothic" w:hAnsi="Century Gothic"/>
              </w:rPr>
            </w:pPr>
          </w:p>
        </w:tc>
        <w:tc>
          <w:tcPr>
            <w:tcW w:w="1985" w:type="dxa"/>
            <w:vAlign w:val="center"/>
          </w:tcPr>
          <w:p w:rsidR="005143D7" w:rsidRPr="00C016DD" w:rsidRDefault="00FB2FBE" w:rsidP="006A7A27">
            <w:pPr>
              <w:jc w:val="right"/>
              <w:rPr>
                <w:rFonts w:ascii="Century Gothic" w:hAnsi="Century Gothic" w:cstheme="minorHAnsi"/>
                <w:b/>
                <w:color w:val="000000"/>
              </w:rPr>
            </w:pPr>
            <w:r w:rsidRPr="00C016DD">
              <w:rPr>
                <w:rFonts w:ascii="Century Gothic" w:hAnsi="Century Gothic" w:cstheme="minorHAnsi"/>
                <w:b/>
                <w:color w:val="000000"/>
              </w:rPr>
              <w:t>$</w:t>
            </w:r>
            <w:r w:rsidR="005D4F35" w:rsidRPr="00C016DD">
              <w:rPr>
                <w:rFonts w:ascii="Century Gothic" w:hAnsi="Century Gothic" w:cstheme="minorHAnsi"/>
                <w:b/>
                <w:color w:val="000000"/>
              </w:rPr>
              <w:t xml:space="preserve"> </w:t>
            </w:r>
            <w:r w:rsidR="002C3D3C">
              <w:rPr>
                <w:rFonts w:ascii="Century Gothic" w:hAnsi="Century Gothic" w:cstheme="minorHAnsi"/>
                <w:b/>
                <w:color w:val="000000"/>
              </w:rPr>
              <w:t xml:space="preserve"> </w:t>
            </w:r>
            <w:r w:rsidR="0056464D">
              <w:rPr>
                <w:rFonts w:ascii="Century Gothic" w:hAnsi="Century Gothic" w:cstheme="minorHAnsi"/>
                <w:b/>
                <w:color w:val="000000"/>
              </w:rPr>
              <w:t xml:space="preserve"> </w:t>
            </w:r>
            <w:r w:rsidR="006040C9">
              <w:rPr>
                <w:rFonts w:ascii="Century Gothic" w:hAnsi="Century Gothic" w:cstheme="minorHAnsi"/>
                <w:b/>
                <w:color w:val="000000"/>
              </w:rPr>
              <w:t xml:space="preserve"> </w:t>
            </w:r>
            <w:r w:rsidR="00C504BA">
              <w:rPr>
                <w:rFonts w:ascii="Century Gothic" w:hAnsi="Century Gothic" w:cstheme="minorHAnsi"/>
                <w:b/>
                <w:color w:val="000000"/>
              </w:rPr>
              <w:t>1’</w:t>
            </w:r>
            <w:r w:rsidR="006A7A27">
              <w:rPr>
                <w:rFonts w:ascii="Century Gothic" w:hAnsi="Century Gothic" w:cstheme="minorHAnsi"/>
                <w:b/>
                <w:color w:val="000000"/>
              </w:rPr>
              <w:t>565</w:t>
            </w:r>
            <w:r w:rsidR="00C504BA" w:rsidRPr="00C504BA">
              <w:rPr>
                <w:rFonts w:ascii="Century Gothic" w:hAnsi="Century Gothic" w:cstheme="minorHAnsi"/>
                <w:b/>
                <w:color w:val="000000"/>
              </w:rPr>
              <w:t>,</w:t>
            </w:r>
            <w:r w:rsidR="006A7A27">
              <w:rPr>
                <w:rFonts w:ascii="Century Gothic" w:hAnsi="Century Gothic" w:cstheme="minorHAnsi"/>
                <w:b/>
                <w:color w:val="000000"/>
              </w:rPr>
              <w:t>321</w:t>
            </w:r>
            <w:r w:rsidR="00C504BA" w:rsidRPr="00C504BA">
              <w:rPr>
                <w:rFonts w:ascii="Century Gothic" w:hAnsi="Century Gothic" w:cstheme="minorHAnsi"/>
                <w:b/>
                <w:color w:val="000000"/>
              </w:rPr>
              <w:t>.</w:t>
            </w:r>
            <w:r w:rsidR="006A7A27">
              <w:rPr>
                <w:rFonts w:ascii="Century Gothic" w:hAnsi="Century Gothic" w:cstheme="minorHAnsi"/>
                <w:b/>
                <w:color w:val="000000"/>
              </w:rPr>
              <w:t>68</w:t>
            </w:r>
          </w:p>
        </w:tc>
      </w:tr>
    </w:tbl>
    <w:p w:rsidR="000E7352" w:rsidRPr="00C016DD" w:rsidRDefault="000E7352" w:rsidP="00B9550D">
      <w:pPr>
        <w:tabs>
          <w:tab w:val="left" w:pos="426"/>
        </w:tabs>
        <w:jc w:val="both"/>
        <w:rPr>
          <w:rFonts w:ascii="Century Gothic" w:hAnsi="Century Gothic"/>
        </w:rPr>
      </w:pPr>
    </w:p>
    <w:p w:rsidR="00880B0E" w:rsidRPr="00C016DD" w:rsidRDefault="00EC59A8" w:rsidP="00B9550D">
      <w:pPr>
        <w:tabs>
          <w:tab w:val="left" w:pos="426"/>
        </w:tabs>
        <w:jc w:val="both"/>
        <w:rPr>
          <w:rFonts w:ascii="Century Gothic" w:hAnsi="Century Gothic"/>
        </w:rPr>
      </w:pPr>
      <w:r w:rsidRPr="00C016DD">
        <w:rPr>
          <w:rFonts w:ascii="Century Gothic" w:hAnsi="Century Gothic"/>
        </w:rPr>
        <w:t xml:space="preserve">El cálculo y registro de las depreciaciones y amortizaciones de los Bienes Muebles e Intangibles de esta entidad; se realizó de conformidad con los parámetros de Estimación de Vida Útil  publicados en el Diario Oficial de la Federación el día 15 de </w:t>
      </w:r>
      <w:r w:rsidR="00CF4F2D">
        <w:rPr>
          <w:rFonts w:ascii="Century Gothic" w:hAnsi="Century Gothic"/>
        </w:rPr>
        <w:t>agosto</w:t>
      </w:r>
      <w:r w:rsidRPr="00C016DD">
        <w:rPr>
          <w:rFonts w:ascii="Century Gothic" w:hAnsi="Century Gothic"/>
        </w:rPr>
        <w:t xml:space="preserve"> de 2012.</w:t>
      </w:r>
    </w:p>
    <w:p w:rsidR="00EC59A8" w:rsidRPr="00C016DD" w:rsidRDefault="00EC59A8" w:rsidP="00B9550D">
      <w:pPr>
        <w:tabs>
          <w:tab w:val="left" w:pos="426"/>
        </w:tabs>
        <w:jc w:val="both"/>
        <w:rPr>
          <w:rFonts w:ascii="Century Gothic" w:hAnsi="Century Gothic"/>
        </w:rPr>
      </w:pPr>
    </w:p>
    <w:p w:rsidR="00EC59A8" w:rsidRPr="00C016DD" w:rsidRDefault="00EC59A8" w:rsidP="00B9550D">
      <w:pPr>
        <w:tabs>
          <w:tab w:val="left" w:pos="426"/>
        </w:tabs>
        <w:jc w:val="both"/>
        <w:rPr>
          <w:rFonts w:ascii="Century Gothic" w:hAnsi="Century Gothic"/>
          <w:b/>
        </w:rPr>
      </w:pPr>
      <w:r w:rsidRPr="00C016DD">
        <w:rPr>
          <w:rFonts w:ascii="Century Gothic" w:hAnsi="Century Gothic"/>
          <w:b/>
        </w:rPr>
        <w:t>Pasivo</w:t>
      </w:r>
    </w:p>
    <w:p w:rsidR="00EC59A8" w:rsidRPr="00C016DD" w:rsidRDefault="00EC59A8" w:rsidP="00B9550D">
      <w:pPr>
        <w:tabs>
          <w:tab w:val="left" w:pos="426"/>
        </w:tabs>
        <w:jc w:val="both"/>
        <w:rPr>
          <w:rFonts w:ascii="Century Gothic" w:hAnsi="Century Gothic"/>
        </w:rPr>
      </w:pPr>
      <w:r w:rsidRPr="00C016DD">
        <w:rPr>
          <w:rFonts w:ascii="Century Gothic" w:hAnsi="Century Gothic"/>
          <w:b/>
        </w:rPr>
        <w:t>Proveedores por Pagar a Corto Plazo</w:t>
      </w:r>
    </w:p>
    <w:p w:rsidR="00C87E1B" w:rsidRPr="00C016DD" w:rsidRDefault="0030508A" w:rsidP="00B9550D">
      <w:pPr>
        <w:tabs>
          <w:tab w:val="left" w:pos="426"/>
        </w:tabs>
        <w:jc w:val="both"/>
        <w:rPr>
          <w:rFonts w:ascii="Century Gothic" w:hAnsi="Century Gothic"/>
        </w:rPr>
      </w:pPr>
      <w:r w:rsidRPr="00C016DD">
        <w:rPr>
          <w:rFonts w:ascii="Century Gothic" w:hAnsi="Century Gothic"/>
        </w:rPr>
        <w:t>Su saldo representa las cuentas por pagar que tiene pendientes el Fideicomiso Teatro Mariano Matamoros</w:t>
      </w:r>
      <w:r w:rsidR="008E1669" w:rsidRPr="00C016DD">
        <w:rPr>
          <w:rFonts w:ascii="Century Gothic" w:hAnsi="Century Gothic"/>
        </w:rPr>
        <w:t>,</w:t>
      </w:r>
      <w:r w:rsidRPr="00C016DD">
        <w:rPr>
          <w:rFonts w:ascii="Century Gothic" w:hAnsi="Century Gothic"/>
        </w:rPr>
        <w:t xml:space="preserve"> por gastos de operación de los ejercicios 2012, 2013, </w:t>
      </w:r>
      <w:r w:rsidRPr="00C016DD">
        <w:rPr>
          <w:rFonts w:ascii="Century Gothic" w:hAnsi="Century Gothic"/>
        </w:rPr>
        <w:lastRenderedPageBreak/>
        <w:t>2014 y 2015; mismos que no han sido cubiertos a la fecha y su integración es la siguiente:</w:t>
      </w:r>
    </w:p>
    <w:tbl>
      <w:tblPr>
        <w:tblStyle w:val="Tablaconcuadrcula"/>
        <w:tblW w:w="0" w:type="auto"/>
        <w:tblLook w:val="04A0" w:firstRow="1" w:lastRow="0" w:firstColumn="1" w:lastColumn="0" w:noHBand="0" w:noVBand="1"/>
      </w:tblPr>
      <w:tblGrid>
        <w:gridCol w:w="675"/>
        <w:gridCol w:w="6379"/>
        <w:gridCol w:w="1924"/>
      </w:tblGrid>
      <w:tr w:rsidR="0030508A" w:rsidRPr="00C016DD" w:rsidTr="00E542BC">
        <w:tc>
          <w:tcPr>
            <w:tcW w:w="675" w:type="dxa"/>
            <w:shd w:val="clear" w:color="auto" w:fill="A6A6A6" w:themeFill="background1" w:themeFillShade="A6"/>
            <w:vAlign w:val="center"/>
          </w:tcPr>
          <w:p w:rsidR="0030508A" w:rsidRPr="00D50A0D" w:rsidRDefault="0030508A" w:rsidP="0030508A">
            <w:pPr>
              <w:tabs>
                <w:tab w:val="left" w:pos="426"/>
              </w:tabs>
              <w:jc w:val="center"/>
              <w:rPr>
                <w:rFonts w:ascii="Century Gothic" w:hAnsi="Century Gothic"/>
                <w:b/>
              </w:rPr>
            </w:pPr>
            <w:r w:rsidRPr="00D50A0D">
              <w:rPr>
                <w:rFonts w:ascii="Century Gothic" w:hAnsi="Century Gothic"/>
                <w:b/>
              </w:rPr>
              <w:t>No.</w:t>
            </w:r>
          </w:p>
        </w:tc>
        <w:tc>
          <w:tcPr>
            <w:tcW w:w="6379" w:type="dxa"/>
            <w:shd w:val="clear" w:color="auto" w:fill="A6A6A6" w:themeFill="background1" w:themeFillShade="A6"/>
            <w:vAlign w:val="center"/>
          </w:tcPr>
          <w:p w:rsidR="0030508A" w:rsidRPr="00D50A0D" w:rsidRDefault="0030508A" w:rsidP="0030508A">
            <w:pPr>
              <w:tabs>
                <w:tab w:val="left" w:pos="426"/>
              </w:tabs>
              <w:jc w:val="center"/>
              <w:rPr>
                <w:rFonts w:ascii="Century Gothic" w:hAnsi="Century Gothic"/>
                <w:b/>
              </w:rPr>
            </w:pPr>
            <w:r w:rsidRPr="00D50A0D">
              <w:rPr>
                <w:rFonts w:ascii="Century Gothic" w:hAnsi="Century Gothic"/>
                <w:b/>
              </w:rPr>
              <w:t>Descripción</w:t>
            </w:r>
          </w:p>
        </w:tc>
        <w:tc>
          <w:tcPr>
            <w:tcW w:w="1924" w:type="dxa"/>
            <w:shd w:val="clear" w:color="auto" w:fill="A6A6A6" w:themeFill="background1" w:themeFillShade="A6"/>
            <w:vAlign w:val="center"/>
          </w:tcPr>
          <w:p w:rsidR="0030508A" w:rsidRPr="00D50A0D" w:rsidRDefault="0030508A" w:rsidP="0030508A">
            <w:pPr>
              <w:tabs>
                <w:tab w:val="left" w:pos="426"/>
              </w:tabs>
              <w:jc w:val="center"/>
              <w:rPr>
                <w:rFonts w:ascii="Century Gothic" w:hAnsi="Century Gothic"/>
                <w:b/>
              </w:rPr>
            </w:pPr>
            <w:r w:rsidRPr="00D50A0D">
              <w:rPr>
                <w:rFonts w:ascii="Century Gothic" w:hAnsi="Century Gothic"/>
                <w:b/>
              </w:rPr>
              <w:t>Importe</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Jorge Luís José González Gómez</w:t>
            </w:r>
          </w:p>
        </w:tc>
        <w:tc>
          <w:tcPr>
            <w:tcW w:w="1924" w:type="dxa"/>
            <w:vAlign w:val="center"/>
            <w:hideMark/>
          </w:tcPr>
          <w:p w:rsidR="0030508A" w:rsidRPr="00C016DD" w:rsidRDefault="00632BEB"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   1’</w:t>
            </w:r>
            <w:r w:rsidR="0030508A" w:rsidRPr="00C016DD">
              <w:rPr>
                <w:rFonts w:ascii="Century Gothic" w:eastAsia="Times New Roman" w:hAnsi="Century Gothic" w:cs="Calibri"/>
                <w:color w:val="000000"/>
                <w:lang w:eastAsia="es-MX"/>
              </w:rPr>
              <w:t>171,138.78</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Cuauhtémoc Francisco Cárdenas Batel</w:t>
            </w:r>
          </w:p>
        </w:tc>
        <w:tc>
          <w:tcPr>
            <w:tcW w:w="1924" w:type="dxa"/>
            <w:vAlign w:val="center"/>
            <w:hideMark/>
          </w:tcPr>
          <w:p w:rsidR="0030508A" w:rsidRPr="00C016DD" w:rsidRDefault="00632BEB"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w:t>
            </w:r>
            <w:r w:rsidR="0030508A" w:rsidRPr="00C016DD">
              <w:rPr>
                <w:rFonts w:ascii="Century Gothic" w:eastAsia="Times New Roman" w:hAnsi="Century Gothic" w:cs="Calibri"/>
                <w:color w:val="000000"/>
                <w:lang w:eastAsia="es-MX"/>
              </w:rPr>
              <w:t>597,900.59</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3</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Manuel García Contreras</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503,002.08</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4</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Melchor Aburto García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557,278.56</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5</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Verónica Ramírez Navarro</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629,706.66</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6</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Rafael Álvarez Navarro</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456,160.45</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7</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Marcela García Barriga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549,482.34</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8</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Iván Aguilar Villa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137,370.59</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9</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Valeria Ortega Segura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128,124.42</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10</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Pedro Pablo Gómez Baranda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167,508.24</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11</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Edgar Arturo González Torres</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25,000.00</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12</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Francisco Carrillo Pérez</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87,674.30</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13</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Jaime García Camarena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328,441.24</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14</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Todo en Mantenimiento y Limpieza, S. de R.L. DE C.V.</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438,834.50</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15</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Seguridad Privada Peralta S.C.</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260,055.68</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16</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Seguridad Privada Peralta de Michoacán, S.C.</w:t>
            </w:r>
          </w:p>
        </w:tc>
        <w:tc>
          <w:tcPr>
            <w:tcW w:w="1924" w:type="dxa"/>
            <w:vAlign w:val="center"/>
            <w:hideMark/>
          </w:tcPr>
          <w:p w:rsidR="0030508A" w:rsidRPr="00C016DD" w:rsidRDefault="00632BEB"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w:t>
            </w:r>
            <w:r w:rsidR="0030508A" w:rsidRPr="00C016DD">
              <w:rPr>
                <w:rFonts w:ascii="Century Gothic" w:eastAsia="Times New Roman" w:hAnsi="Century Gothic" w:cs="Calibri"/>
                <w:color w:val="000000"/>
                <w:lang w:eastAsia="es-MX"/>
              </w:rPr>
              <w:t>555,480.00</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17</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Jorge Martínez Garnica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1,446.28</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18</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Humberto Nieves Navarrete</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264,000.24</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19</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Gerardo Díaz Figueroa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292,317.34</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20</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Hoteles Virreynales, S.A. de C.V.</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43,331.50</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21</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Secretaria de Finanzas y Administración</w:t>
            </w:r>
          </w:p>
        </w:tc>
        <w:tc>
          <w:tcPr>
            <w:tcW w:w="1924" w:type="dxa"/>
            <w:vAlign w:val="center"/>
            <w:hideMark/>
          </w:tcPr>
          <w:p w:rsidR="0030508A" w:rsidRPr="00C016DD" w:rsidRDefault="00632BEB"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w:t>
            </w:r>
            <w:r w:rsidR="0030508A" w:rsidRPr="00C016DD">
              <w:rPr>
                <w:rFonts w:ascii="Century Gothic" w:eastAsia="Times New Roman" w:hAnsi="Century Gothic" w:cs="Calibri"/>
                <w:color w:val="000000"/>
                <w:lang w:eastAsia="es-MX"/>
              </w:rPr>
              <w:t>500,000.00</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22</w:t>
            </w:r>
          </w:p>
        </w:tc>
        <w:tc>
          <w:tcPr>
            <w:tcW w:w="6379" w:type="dxa"/>
            <w:vAlign w:val="center"/>
            <w:hideMark/>
          </w:tcPr>
          <w:p w:rsidR="0030508A" w:rsidRPr="00C016DD" w:rsidRDefault="00FF7A1C" w:rsidP="00FF7A1C">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Julio</w:t>
            </w:r>
            <w:r w:rsidR="0030508A" w:rsidRPr="00C016DD">
              <w:rPr>
                <w:rFonts w:ascii="Century Gothic" w:eastAsia="Times New Roman" w:hAnsi="Century Gothic" w:cs="Calibri"/>
                <w:color w:val="000000"/>
                <w:lang w:eastAsia="es-MX"/>
              </w:rPr>
              <w:t xml:space="preserve"> Cesar Reynoso Herrera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17,760.14</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23</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Teléfonos de México, S.A.B. de C.V.</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31,779.00</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24</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Comisión Federal de Electricidad</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2,357.00</w:t>
            </w:r>
          </w:p>
        </w:tc>
      </w:tr>
      <w:tr w:rsidR="0030508A" w:rsidRPr="00C016DD" w:rsidTr="0030508A">
        <w:trPr>
          <w:trHeight w:val="660"/>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25</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Organismo Operador de Agua Potable Alcantarillado y Saneamiento de Morelia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92,965.00</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26</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Cadena Comercial Oxxo, S.A. de C.V.</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20.50</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27</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Elfega Martínez Aguilar</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90.02</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28</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Secretaria de Contraloría 5 al Millar</w:t>
            </w:r>
          </w:p>
        </w:tc>
        <w:tc>
          <w:tcPr>
            <w:tcW w:w="1924" w:type="dxa"/>
            <w:vAlign w:val="center"/>
            <w:hideMark/>
          </w:tcPr>
          <w:p w:rsidR="0030508A" w:rsidRPr="00C016DD" w:rsidRDefault="0030508A" w:rsidP="005B457C">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619,4</w:t>
            </w:r>
            <w:r w:rsidR="005B457C" w:rsidRPr="00C016DD">
              <w:rPr>
                <w:rFonts w:ascii="Century Gothic" w:eastAsia="Times New Roman" w:hAnsi="Century Gothic" w:cs="Calibri"/>
                <w:color w:val="000000"/>
                <w:lang w:eastAsia="es-MX"/>
              </w:rPr>
              <w:t>66</w:t>
            </w:r>
            <w:r w:rsidRPr="00C016DD">
              <w:rPr>
                <w:rFonts w:ascii="Century Gothic" w:eastAsia="Times New Roman" w:hAnsi="Century Gothic" w:cs="Calibri"/>
                <w:color w:val="000000"/>
                <w:lang w:eastAsia="es-MX"/>
              </w:rPr>
              <w:t>.</w:t>
            </w:r>
            <w:r w:rsidR="005B457C" w:rsidRPr="00C016DD">
              <w:rPr>
                <w:rFonts w:ascii="Century Gothic" w:eastAsia="Times New Roman" w:hAnsi="Century Gothic" w:cs="Calibri"/>
                <w:color w:val="000000"/>
                <w:lang w:eastAsia="es-MX"/>
              </w:rPr>
              <w:t>95</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p>
        </w:tc>
        <w:tc>
          <w:tcPr>
            <w:tcW w:w="6379" w:type="dxa"/>
            <w:noWrap/>
            <w:vAlign w:val="center"/>
            <w:hideMark/>
          </w:tcPr>
          <w:p w:rsidR="0030508A" w:rsidRPr="00C016DD" w:rsidRDefault="0030508A" w:rsidP="0030508A">
            <w:pPr>
              <w:jc w:val="center"/>
              <w:rPr>
                <w:rFonts w:ascii="Century Gothic" w:eastAsia="Times New Roman" w:hAnsi="Century Gothic" w:cs="Calibri"/>
                <w:b/>
                <w:color w:val="000000"/>
                <w:lang w:eastAsia="es-MX"/>
              </w:rPr>
            </w:pPr>
            <w:r w:rsidRPr="00C016DD">
              <w:rPr>
                <w:rFonts w:ascii="Century Gothic" w:eastAsia="Times New Roman" w:hAnsi="Century Gothic" w:cs="Calibri"/>
                <w:b/>
                <w:color w:val="000000"/>
                <w:lang w:eastAsia="es-MX"/>
              </w:rPr>
              <w:t>Total</w:t>
            </w:r>
          </w:p>
        </w:tc>
        <w:tc>
          <w:tcPr>
            <w:tcW w:w="1924" w:type="dxa"/>
            <w:noWrap/>
            <w:vAlign w:val="center"/>
            <w:hideMark/>
          </w:tcPr>
          <w:p w:rsidR="0030508A" w:rsidRPr="00C016DD" w:rsidRDefault="0030508A" w:rsidP="00632BEB">
            <w:pPr>
              <w:jc w:val="right"/>
              <w:rPr>
                <w:rFonts w:ascii="Century Gothic" w:eastAsia="Times New Roman" w:hAnsi="Century Gothic" w:cs="Calibri"/>
                <w:b/>
                <w:color w:val="000000"/>
                <w:lang w:eastAsia="es-MX"/>
              </w:rPr>
            </w:pPr>
            <w:r w:rsidRPr="00C016DD">
              <w:rPr>
                <w:rFonts w:ascii="Century Gothic" w:eastAsia="Times New Roman" w:hAnsi="Century Gothic" w:cs="Calibri"/>
                <w:b/>
                <w:color w:val="000000"/>
                <w:lang w:eastAsia="es-MX"/>
              </w:rPr>
              <w:t>$ 13</w:t>
            </w:r>
            <w:r w:rsidR="00632BEB" w:rsidRPr="00C016DD">
              <w:rPr>
                <w:rFonts w:ascii="Century Gothic" w:eastAsia="Times New Roman" w:hAnsi="Century Gothic" w:cs="Calibri"/>
                <w:b/>
                <w:color w:val="000000"/>
                <w:lang w:eastAsia="es-MX"/>
              </w:rPr>
              <w:t>’</w:t>
            </w:r>
            <w:r w:rsidRPr="00C016DD">
              <w:rPr>
                <w:rFonts w:ascii="Century Gothic" w:eastAsia="Times New Roman" w:hAnsi="Century Gothic" w:cs="Calibri"/>
                <w:b/>
                <w:color w:val="000000"/>
                <w:lang w:eastAsia="es-MX"/>
              </w:rPr>
              <w:t>45</w:t>
            </w:r>
            <w:r w:rsidR="005B457C" w:rsidRPr="00C016DD">
              <w:rPr>
                <w:rFonts w:ascii="Century Gothic" w:eastAsia="Times New Roman" w:hAnsi="Century Gothic" w:cs="Calibri"/>
                <w:b/>
                <w:color w:val="000000"/>
                <w:lang w:eastAsia="es-MX"/>
              </w:rPr>
              <w:t>8</w:t>
            </w:r>
            <w:r w:rsidRPr="00C016DD">
              <w:rPr>
                <w:rFonts w:ascii="Century Gothic" w:eastAsia="Times New Roman" w:hAnsi="Century Gothic" w:cs="Calibri"/>
                <w:b/>
                <w:color w:val="000000"/>
                <w:lang w:eastAsia="es-MX"/>
              </w:rPr>
              <w:t>,</w:t>
            </w:r>
            <w:r w:rsidR="005B457C" w:rsidRPr="00C016DD">
              <w:rPr>
                <w:rFonts w:ascii="Century Gothic" w:eastAsia="Times New Roman" w:hAnsi="Century Gothic" w:cs="Calibri"/>
                <w:b/>
                <w:color w:val="000000"/>
                <w:lang w:eastAsia="es-MX"/>
              </w:rPr>
              <w:t>692</w:t>
            </w:r>
            <w:r w:rsidRPr="00C016DD">
              <w:rPr>
                <w:rFonts w:ascii="Century Gothic" w:eastAsia="Times New Roman" w:hAnsi="Century Gothic" w:cs="Calibri"/>
                <w:b/>
                <w:color w:val="000000"/>
                <w:lang w:eastAsia="es-MX"/>
              </w:rPr>
              <w:t>.</w:t>
            </w:r>
            <w:r w:rsidR="005B457C" w:rsidRPr="00C016DD">
              <w:rPr>
                <w:rFonts w:ascii="Century Gothic" w:eastAsia="Times New Roman" w:hAnsi="Century Gothic" w:cs="Calibri"/>
                <w:b/>
                <w:color w:val="000000"/>
                <w:lang w:eastAsia="es-MX"/>
              </w:rPr>
              <w:t>40</w:t>
            </w:r>
          </w:p>
        </w:tc>
      </w:tr>
    </w:tbl>
    <w:p w:rsidR="0030508A" w:rsidRPr="00C016DD" w:rsidRDefault="0030508A" w:rsidP="00B9550D">
      <w:pPr>
        <w:tabs>
          <w:tab w:val="left" w:pos="426"/>
        </w:tabs>
        <w:jc w:val="both"/>
        <w:rPr>
          <w:rFonts w:ascii="Century Gothic" w:hAnsi="Century Gothic"/>
        </w:rPr>
      </w:pPr>
    </w:p>
    <w:p w:rsidR="00421BEF" w:rsidRPr="00C016DD" w:rsidRDefault="00421BEF" w:rsidP="00421BEF">
      <w:pPr>
        <w:tabs>
          <w:tab w:val="left" w:pos="426"/>
        </w:tabs>
        <w:jc w:val="both"/>
        <w:rPr>
          <w:rFonts w:ascii="Century Gothic" w:hAnsi="Century Gothic"/>
        </w:rPr>
      </w:pPr>
      <w:r w:rsidRPr="00C016DD">
        <w:rPr>
          <w:rFonts w:ascii="Century Gothic" w:hAnsi="Century Gothic"/>
        </w:rPr>
        <w:t>Actualmente se cuenta con una demanda laboral existente en contra del Fideicomiso, presentada ante la junta de Conciliación y Arbitraje  del Estado de Michoacán, con un importe aproximado respecto al caso es el siguiente:</w:t>
      </w:r>
    </w:p>
    <w:p w:rsidR="00A47E99" w:rsidRDefault="00A47E99" w:rsidP="00421BEF">
      <w:pPr>
        <w:tabs>
          <w:tab w:val="left" w:pos="426"/>
        </w:tabs>
        <w:jc w:val="both"/>
        <w:rPr>
          <w:rFonts w:ascii="Century Gothic" w:hAnsi="Century Gothic"/>
        </w:rPr>
      </w:pPr>
    </w:p>
    <w:p w:rsidR="00596D34" w:rsidRPr="00C016DD" w:rsidRDefault="00596D34" w:rsidP="00421BEF">
      <w:pPr>
        <w:tabs>
          <w:tab w:val="left" w:pos="426"/>
        </w:tabs>
        <w:jc w:val="both"/>
        <w:rPr>
          <w:rFonts w:ascii="Century Gothic" w:hAnsi="Century Gothic"/>
        </w:rPr>
      </w:pPr>
    </w:p>
    <w:tbl>
      <w:tblPr>
        <w:tblStyle w:val="Tablaconcuadrcula"/>
        <w:tblW w:w="0" w:type="auto"/>
        <w:tblLook w:val="04A0" w:firstRow="1" w:lastRow="0" w:firstColumn="1" w:lastColumn="0" w:noHBand="0" w:noVBand="1"/>
      </w:tblPr>
      <w:tblGrid>
        <w:gridCol w:w="2235"/>
        <w:gridCol w:w="4536"/>
        <w:gridCol w:w="1877"/>
      </w:tblGrid>
      <w:tr w:rsidR="00421BEF" w:rsidRPr="00C016DD" w:rsidTr="00E542BC">
        <w:tc>
          <w:tcPr>
            <w:tcW w:w="2235" w:type="dxa"/>
            <w:shd w:val="clear" w:color="auto" w:fill="A6A6A6" w:themeFill="background1" w:themeFillShade="A6"/>
          </w:tcPr>
          <w:p w:rsidR="00421BEF" w:rsidRPr="00C016DD" w:rsidRDefault="00421BEF" w:rsidP="00A32812">
            <w:pPr>
              <w:tabs>
                <w:tab w:val="left" w:pos="426"/>
              </w:tabs>
              <w:jc w:val="center"/>
              <w:rPr>
                <w:rFonts w:ascii="Century Gothic" w:hAnsi="Century Gothic"/>
                <w:b/>
              </w:rPr>
            </w:pPr>
            <w:r w:rsidRPr="00C016DD">
              <w:rPr>
                <w:rFonts w:ascii="Century Gothic" w:hAnsi="Century Gothic"/>
                <w:b/>
              </w:rPr>
              <w:lastRenderedPageBreak/>
              <w:t>No. de Expediente</w:t>
            </w:r>
          </w:p>
        </w:tc>
        <w:tc>
          <w:tcPr>
            <w:tcW w:w="4536" w:type="dxa"/>
            <w:shd w:val="clear" w:color="auto" w:fill="A6A6A6" w:themeFill="background1" w:themeFillShade="A6"/>
          </w:tcPr>
          <w:p w:rsidR="00421BEF" w:rsidRPr="00C016DD" w:rsidRDefault="00421BEF" w:rsidP="00A32812">
            <w:pPr>
              <w:tabs>
                <w:tab w:val="left" w:pos="426"/>
              </w:tabs>
              <w:jc w:val="center"/>
              <w:rPr>
                <w:rFonts w:ascii="Century Gothic" w:hAnsi="Century Gothic"/>
                <w:b/>
              </w:rPr>
            </w:pPr>
            <w:r w:rsidRPr="00C016DD">
              <w:rPr>
                <w:rFonts w:ascii="Century Gothic" w:hAnsi="Century Gothic"/>
                <w:b/>
              </w:rPr>
              <w:t>Demandante</w:t>
            </w:r>
          </w:p>
        </w:tc>
        <w:tc>
          <w:tcPr>
            <w:tcW w:w="1877" w:type="dxa"/>
            <w:shd w:val="clear" w:color="auto" w:fill="A6A6A6" w:themeFill="background1" w:themeFillShade="A6"/>
          </w:tcPr>
          <w:p w:rsidR="00421BEF" w:rsidRPr="00C016DD" w:rsidRDefault="00421BEF" w:rsidP="00A32812">
            <w:pPr>
              <w:tabs>
                <w:tab w:val="left" w:pos="426"/>
              </w:tabs>
              <w:jc w:val="center"/>
              <w:rPr>
                <w:rFonts w:ascii="Century Gothic" w:hAnsi="Century Gothic"/>
                <w:b/>
              </w:rPr>
            </w:pPr>
            <w:r w:rsidRPr="00C016DD">
              <w:rPr>
                <w:rFonts w:ascii="Century Gothic" w:hAnsi="Century Gothic"/>
                <w:b/>
              </w:rPr>
              <w:t>Valor Estimado</w:t>
            </w:r>
          </w:p>
        </w:tc>
      </w:tr>
      <w:tr w:rsidR="00421BEF" w:rsidRPr="00C016DD" w:rsidTr="00EE2D3C">
        <w:tc>
          <w:tcPr>
            <w:tcW w:w="2235" w:type="dxa"/>
            <w:vAlign w:val="center"/>
          </w:tcPr>
          <w:p w:rsidR="00421BEF" w:rsidRPr="00C016DD" w:rsidRDefault="00421BEF" w:rsidP="00EE2D3C">
            <w:pPr>
              <w:tabs>
                <w:tab w:val="left" w:pos="426"/>
              </w:tabs>
              <w:jc w:val="center"/>
              <w:rPr>
                <w:rFonts w:ascii="Century Gothic" w:hAnsi="Century Gothic"/>
              </w:rPr>
            </w:pPr>
            <w:r w:rsidRPr="00C016DD">
              <w:rPr>
                <w:rFonts w:ascii="Century Gothic" w:hAnsi="Century Gothic"/>
              </w:rPr>
              <w:t>251/2015</w:t>
            </w:r>
            <w:r w:rsidR="00EE2D3C" w:rsidRPr="00C016DD">
              <w:rPr>
                <w:rFonts w:ascii="Century Gothic" w:hAnsi="Century Gothic"/>
              </w:rPr>
              <w:t xml:space="preserve">  990/2018</w:t>
            </w:r>
          </w:p>
        </w:tc>
        <w:tc>
          <w:tcPr>
            <w:tcW w:w="4536" w:type="dxa"/>
            <w:vAlign w:val="center"/>
          </w:tcPr>
          <w:p w:rsidR="00421BEF" w:rsidRPr="00C016DD" w:rsidRDefault="00421BEF" w:rsidP="00EE2D3C">
            <w:pPr>
              <w:tabs>
                <w:tab w:val="left" w:pos="426"/>
              </w:tabs>
              <w:jc w:val="center"/>
              <w:rPr>
                <w:rFonts w:ascii="Century Gothic" w:hAnsi="Century Gothic"/>
              </w:rPr>
            </w:pPr>
            <w:r w:rsidRPr="00C016DD">
              <w:rPr>
                <w:rFonts w:ascii="Century Gothic" w:hAnsi="Century Gothic"/>
              </w:rPr>
              <w:t>Arq. Cuahutémoc F. Cárdenas Batel</w:t>
            </w:r>
          </w:p>
        </w:tc>
        <w:tc>
          <w:tcPr>
            <w:tcW w:w="1877" w:type="dxa"/>
            <w:vAlign w:val="center"/>
          </w:tcPr>
          <w:p w:rsidR="00421BEF" w:rsidRPr="00C016DD" w:rsidRDefault="00421BEF" w:rsidP="006F430F">
            <w:pPr>
              <w:tabs>
                <w:tab w:val="left" w:pos="426"/>
              </w:tabs>
              <w:jc w:val="right"/>
              <w:rPr>
                <w:rFonts w:ascii="Century Gothic" w:hAnsi="Century Gothic"/>
              </w:rPr>
            </w:pPr>
            <w:r w:rsidRPr="00C016DD">
              <w:rPr>
                <w:rFonts w:ascii="Century Gothic" w:hAnsi="Century Gothic"/>
              </w:rPr>
              <w:t>$ 2’59</w:t>
            </w:r>
            <w:r w:rsidR="001E0AC2" w:rsidRPr="00C016DD">
              <w:rPr>
                <w:rFonts w:ascii="Century Gothic" w:hAnsi="Century Gothic"/>
              </w:rPr>
              <w:t>2</w:t>
            </w:r>
            <w:r w:rsidRPr="00C016DD">
              <w:rPr>
                <w:rFonts w:ascii="Century Gothic" w:hAnsi="Century Gothic"/>
              </w:rPr>
              <w:t>,</w:t>
            </w:r>
            <w:r w:rsidR="001E0AC2" w:rsidRPr="00C016DD">
              <w:rPr>
                <w:rFonts w:ascii="Century Gothic" w:hAnsi="Century Gothic"/>
              </w:rPr>
              <w:t>018</w:t>
            </w:r>
            <w:r w:rsidRPr="00C016DD">
              <w:rPr>
                <w:rFonts w:ascii="Century Gothic" w:hAnsi="Century Gothic"/>
              </w:rPr>
              <w:t>.</w:t>
            </w:r>
            <w:r w:rsidR="001E0AC2" w:rsidRPr="00C016DD">
              <w:rPr>
                <w:rFonts w:ascii="Century Gothic" w:hAnsi="Century Gothic"/>
              </w:rPr>
              <w:t>00</w:t>
            </w:r>
          </w:p>
        </w:tc>
      </w:tr>
      <w:tr w:rsidR="00421BEF" w:rsidRPr="00C016DD" w:rsidTr="00A32812">
        <w:tc>
          <w:tcPr>
            <w:tcW w:w="2235" w:type="dxa"/>
          </w:tcPr>
          <w:p w:rsidR="00421BEF" w:rsidRPr="00C016DD" w:rsidRDefault="00421BEF" w:rsidP="00A32812">
            <w:pPr>
              <w:tabs>
                <w:tab w:val="left" w:pos="426"/>
              </w:tabs>
              <w:jc w:val="both"/>
              <w:rPr>
                <w:rFonts w:ascii="Century Gothic" w:hAnsi="Century Gothic"/>
              </w:rPr>
            </w:pPr>
          </w:p>
        </w:tc>
        <w:tc>
          <w:tcPr>
            <w:tcW w:w="4536" w:type="dxa"/>
          </w:tcPr>
          <w:p w:rsidR="00421BEF" w:rsidRPr="00C016DD" w:rsidRDefault="00421BEF" w:rsidP="00A32812">
            <w:pPr>
              <w:tabs>
                <w:tab w:val="left" w:pos="426"/>
              </w:tabs>
              <w:jc w:val="center"/>
              <w:rPr>
                <w:rFonts w:ascii="Century Gothic" w:hAnsi="Century Gothic"/>
                <w:b/>
              </w:rPr>
            </w:pPr>
            <w:r w:rsidRPr="00C016DD">
              <w:rPr>
                <w:rFonts w:ascii="Century Gothic" w:hAnsi="Century Gothic"/>
                <w:b/>
              </w:rPr>
              <w:t>Total</w:t>
            </w:r>
          </w:p>
        </w:tc>
        <w:tc>
          <w:tcPr>
            <w:tcW w:w="1877" w:type="dxa"/>
          </w:tcPr>
          <w:p w:rsidR="00421BEF" w:rsidRPr="00C016DD" w:rsidRDefault="00421BEF" w:rsidP="001E0AC2">
            <w:pPr>
              <w:tabs>
                <w:tab w:val="left" w:pos="426"/>
              </w:tabs>
              <w:jc w:val="right"/>
              <w:rPr>
                <w:rFonts w:ascii="Century Gothic" w:hAnsi="Century Gothic"/>
                <w:b/>
              </w:rPr>
            </w:pPr>
            <w:r w:rsidRPr="00C016DD">
              <w:rPr>
                <w:rFonts w:ascii="Century Gothic" w:hAnsi="Century Gothic"/>
                <w:b/>
              </w:rPr>
              <w:t>$ 2’59</w:t>
            </w:r>
            <w:r w:rsidR="001E0AC2" w:rsidRPr="00C016DD">
              <w:rPr>
                <w:rFonts w:ascii="Century Gothic" w:hAnsi="Century Gothic"/>
                <w:b/>
              </w:rPr>
              <w:t>2</w:t>
            </w:r>
            <w:r w:rsidRPr="00C016DD">
              <w:rPr>
                <w:rFonts w:ascii="Century Gothic" w:hAnsi="Century Gothic"/>
                <w:b/>
              </w:rPr>
              <w:t>,</w:t>
            </w:r>
            <w:r w:rsidR="001E0AC2" w:rsidRPr="00C016DD">
              <w:rPr>
                <w:rFonts w:ascii="Century Gothic" w:hAnsi="Century Gothic"/>
                <w:b/>
              </w:rPr>
              <w:t>018</w:t>
            </w:r>
            <w:r w:rsidRPr="00C016DD">
              <w:rPr>
                <w:rFonts w:ascii="Century Gothic" w:hAnsi="Century Gothic"/>
                <w:b/>
              </w:rPr>
              <w:t>.</w:t>
            </w:r>
            <w:r w:rsidR="001E0AC2" w:rsidRPr="00C016DD">
              <w:rPr>
                <w:rFonts w:ascii="Century Gothic" w:hAnsi="Century Gothic"/>
                <w:b/>
              </w:rPr>
              <w:t>00</w:t>
            </w:r>
          </w:p>
        </w:tc>
      </w:tr>
    </w:tbl>
    <w:p w:rsidR="00421BEF" w:rsidRPr="00C016DD" w:rsidRDefault="00421BEF" w:rsidP="00421BEF">
      <w:pPr>
        <w:tabs>
          <w:tab w:val="left" w:pos="426"/>
        </w:tabs>
        <w:jc w:val="both"/>
        <w:rPr>
          <w:rFonts w:ascii="Century Gothic" w:hAnsi="Century Gothic"/>
        </w:rPr>
      </w:pPr>
    </w:p>
    <w:p w:rsidR="00421BEF" w:rsidRPr="00C016DD" w:rsidRDefault="00421BEF" w:rsidP="00421BEF">
      <w:pPr>
        <w:tabs>
          <w:tab w:val="left" w:pos="426"/>
        </w:tabs>
        <w:jc w:val="both"/>
        <w:rPr>
          <w:rFonts w:ascii="Century Gothic" w:hAnsi="Century Gothic"/>
        </w:rPr>
      </w:pPr>
      <w:r w:rsidRPr="00C016DD">
        <w:rPr>
          <w:rFonts w:ascii="Century Gothic" w:hAnsi="Century Gothic"/>
        </w:rPr>
        <w:t xml:space="preserve">El </w:t>
      </w:r>
      <w:r w:rsidR="001E0AC2" w:rsidRPr="00C016DD">
        <w:rPr>
          <w:rFonts w:ascii="Century Gothic" w:hAnsi="Century Gothic"/>
        </w:rPr>
        <w:t>17</w:t>
      </w:r>
      <w:r w:rsidRPr="00C016DD">
        <w:rPr>
          <w:rFonts w:ascii="Century Gothic" w:hAnsi="Century Gothic"/>
        </w:rPr>
        <w:t xml:space="preserve"> de </w:t>
      </w:r>
      <w:r w:rsidR="006906D8" w:rsidRPr="00C016DD">
        <w:rPr>
          <w:rFonts w:ascii="Century Gothic" w:hAnsi="Century Gothic"/>
        </w:rPr>
        <w:t>a</w:t>
      </w:r>
      <w:r w:rsidR="001E0AC2" w:rsidRPr="00C016DD">
        <w:rPr>
          <w:rFonts w:ascii="Century Gothic" w:hAnsi="Century Gothic"/>
        </w:rPr>
        <w:t>b</w:t>
      </w:r>
      <w:r w:rsidR="006906D8" w:rsidRPr="00C016DD">
        <w:rPr>
          <w:rFonts w:ascii="Century Gothic" w:hAnsi="Century Gothic"/>
        </w:rPr>
        <w:t>r</w:t>
      </w:r>
      <w:r w:rsidR="001E0AC2" w:rsidRPr="00C016DD">
        <w:rPr>
          <w:rFonts w:ascii="Century Gothic" w:hAnsi="Century Gothic"/>
        </w:rPr>
        <w:t>il</w:t>
      </w:r>
      <w:r w:rsidRPr="00C016DD">
        <w:rPr>
          <w:rFonts w:ascii="Century Gothic" w:hAnsi="Century Gothic"/>
        </w:rPr>
        <w:t xml:space="preserve"> de </w:t>
      </w:r>
      <w:r w:rsidR="00060F5B" w:rsidRPr="00C016DD">
        <w:rPr>
          <w:rFonts w:ascii="Century Gothic" w:hAnsi="Century Gothic"/>
        </w:rPr>
        <w:t>201</w:t>
      </w:r>
      <w:r w:rsidR="001E0AC2" w:rsidRPr="00C016DD">
        <w:rPr>
          <w:rFonts w:ascii="Century Gothic" w:hAnsi="Century Gothic"/>
        </w:rPr>
        <w:t>9</w:t>
      </w:r>
      <w:r w:rsidRPr="00C016DD">
        <w:rPr>
          <w:rFonts w:ascii="Century Gothic" w:hAnsi="Century Gothic"/>
        </w:rPr>
        <w:t xml:space="preserve">. La Licenciada asesora jurídica del Fideicomiso, actualizó </w:t>
      </w:r>
      <w:r w:rsidR="00EE2D3C" w:rsidRPr="00C016DD">
        <w:rPr>
          <w:rFonts w:ascii="Century Gothic" w:hAnsi="Century Gothic"/>
        </w:rPr>
        <w:t xml:space="preserve">el </w:t>
      </w:r>
      <w:r w:rsidRPr="00C016DD">
        <w:rPr>
          <w:rFonts w:ascii="Century Gothic" w:hAnsi="Century Gothic"/>
        </w:rPr>
        <w:t>estatus e importe estimado del juicio en proceso mismo que coincide con el importe registrado en Pasivos Por Pagar</w:t>
      </w:r>
      <w:r w:rsidR="00894517" w:rsidRPr="00C016DD">
        <w:rPr>
          <w:rFonts w:ascii="Century Gothic" w:hAnsi="Century Gothic"/>
        </w:rPr>
        <w:t>, el primer número de expediente fue asignado por la Junta de Conciliación y arbitraje del Estado, el segundo lo designo la Junta Especial Número Treinta de la Federal de Conciliación y Arbitraje con sede en la Ciudad de Morelia, Michoacán.</w:t>
      </w:r>
    </w:p>
    <w:p w:rsidR="00421BEF" w:rsidRPr="00C016DD" w:rsidRDefault="00421BEF" w:rsidP="00B9550D">
      <w:pPr>
        <w:tabs>
          <w:tab w:val="left" w:pos="426"/>
        </w:tabs>
        <w:jc w:val="both"/>
        <w:rPr>
          <w:rFonts w:ascii="Century Gothic" w:hAnsi="Century Gothic"/>
        </w:rPr>
      </w:pPr>
    </w:p>
    <w:p w:rsidR="007B52ED" w:rsidRPr="00C016DD" w:rsidRDefault="007B52ED" w:rsidP="00B9550D">
      <w:pPr>
        <w:tabs>
          <w:tab w:val="left" w:pos="426"/>
        </w:tabs>
        <w:jc w:val="both"/>
        <w:rPr>
          <w:rFonts w:ascii="Century Gothic" w:hAnsi="Century Gothic"/>
          <w:b/>
        </w:rPr>
      </w:pPr>
      <w:r w:rsidRPr="00C016DD">
        <w:rPr>
          <w:rFonts w:ascii="Century Gothic" w:hAnsi="Century Gothic"/>
          <w:b/>
        </w:rPr>
        <w:t>Contratistas por Obras Públicas por Pagar</w:t>
      </w:r>
    </w:p>
    <w:p w:rsidR="007B52ED" w:rsidRPr="00C016DD" w:rsidRDefault="007B52ED" w:rsidP="00B9550D">
      <w:pPr>
        <w:tabs>
          <w:tab w:val="left" w:pos="426"/>
        </w:tabs>
        <w:jc w:val="both"/>
        <w:rPr>
          <w:rFonts w:ascii="Century Gothic" w:hAnsi="Century Gothic"/>
        </w:rPr>
      </w:pPr>
      <w:r w:rsidRPr="00C016DD">
        <w:rPr>
          <w:rFonts w:ascii="Century Gothic" w:hAnsi="Century Gothic"/>
        </w:rPr>
        <w:t xml:space="preserve">Su saldo representa el importe de obra pública contratada no ejecutada y que actualmente se encuentran en proceso de </w:t>
      </w:r>
      <w:r w:rsidR="008E1669" w:rsidRPr="00C016DD">
        <w:rPr>
          <w:rFonts w:ascii="Century Gothic" w:hAnsi="Century Gothic"/>
        </w:rPr>
        <w:t>terminació</w:t>
      </w:r>
      <w:r w:rsidRPr="00C016DD">
        <w:rPr>
          <w:rFonts w:ascii="Century Gothic" w:hAnsi="Century Gothic"/>
        </w:rPr>
        <w:t>n anticipada y su integración es la siguiente:</w:t>
      </w:r>
    </w:p>
    <w:p w:rsidR="00A47E99" w:rsidRPr="00C016DD" w:rsidRDefault="00A47E99" w:rsidP="00B9550D">
      <w:pPr>
        <w:tabs>
          <w:tab w:val="left" w:pos="426"/>
        </w:tabs>
        <w:jc w:val="both"/>
        <w:rPr>
          <w:rFonts w:ascii="Century Gothic" w:hAnsi="Century Gothic"/>
        </w:rPr>
      </w:pPr>
    </w:p>
    <w:tbl>
      <w:tblPr>
        <w:tblStyle w:val="Tablaconcuadrcula"/>
        <w:tblW w:w="0" w:type="auto"/>
        <w:tblLook w:val="04A0" w:firstRow="1" w:lastRow="0" w:firstColumn="1" w:lastColumn="0" w:noHBand="0" w:noVBand="1"/>
      </w:tblPr>
      <w:tblGrid>
        <w:gridCol w:w="663"/>
        <w:gridCol w:w="6533"/>
        <w:gridCol w:w="1858"/>
      </w:tblGrid>
      <w:tr w:rsidR="005B51DB" w:rsidRPr="00C016DD" w:rsidTr="00E542BC">
        <w:trPr>
          <w:trHeight w:val="330"/>
        </w:trPr>
        <w:tc>
          <w:tcPr>
            <w:tcW w:w="663" w:type="dxa"/>
            <w:shd w:val="clear" w:color="auto" w:fill="A6A6A6" w:themeFill="background1" w:themeFillShade="A6"/>
            <w:noWrap/>
            <w:hideMark/>
          </w:tcPr>
          <w:p w:rsidR="005B51DB" w:rsidRPr="00C016DD" w:rsidRDefault="005B51DB" w:rsidP="005B51DB">
            <w:pPr>
              <w:tabs>
                <w:tab w:val="left" w:pos="426"/>
              </w:tabs>
              <w:jc w:val="center"/>
              <w:rPr>
                <w:rFonts w:ascii="Century Gothic" w:hAnsi="Century Gothic"/>
                <w:b/>
                <w:bCs/>
              </w:rPr>
            </w:pPr>
            <w:r w:rsidRPr="00C016DD">
              <w:rPr>
                <w:rFonts w:ascii="Century Gothic" w:hAnsi="Century Gothic"/>
                <w:b/>
                <w:bCs/>
              </w:rPr>
              <w:t>No.</w:t>
            </w:r>
          </w:p>
        </w:tc>
        <w:tc>
          <w:tcPr>
            <w:tcW w:w="6533" w:type="dxa"/>
            <w:shd w:val="clear" w:color="auto" w:fill="A6A6A6" w:themeFill="background1" w:themeFillShade="A6"/>
            <w:noWrap/>
            <w:hideMark/>
          </w:tcPr>
          <w:p w:rsidR="005B51DB" w:rsidRPr="00C016DD" w:rsidRDefault="005B51DB" w:rsidP="005B51DB">
            <w:pPr>
              <w:tabs>
                <w:tab w:val="left" w:pos="426"/>
              </w:tabs>
              <w:jc w:val="center"/>
              <w:rPr>
                <w:rFonts w:ascii="Century Gothic" w:hAnsi="Century Gothic"/>
                <w:b/>
                <w:bCs/>
              </w:rPr>
            </w:pPr>
            <w:r w:rsidRPr="00C016DD">
              <w:rPr>
                <w:rFonts w:ascii="Century Gothic" w:hAnsi="Century Gothic"/>
                <w:b/>
                <w:bCs/>
              </w:rPr>
              <w:t>Descripción</w:t>
            </w:r>
          </w:p>
        </w:tc>
        <w:tc>
          <w:tcPr>
            <w:tcW w:w="1858" w:type="dxa"/>
            <w:shd w:val="clear" w:color="auto" w:fill="A6A6A6" w:themeFill="background1" w:themeFillShade="A6"/>
            <w:noWrap/>
            <w:hideMark/>
          </w:tcPr>
          <w:p w:rsidR="005B51DB" w:rsidRPr="00C016DD" w:rsidRDefault="005B51DB" w:rsidP="005B51DB">
            <w:pPr>
              <w:tabs>
                <w:tab w:val="left" w:pos="426"/>
              </w:tabs>
              <w:jc w:val="center"/>
              <w:rPr>
                <w:rFonts w:ascii="Century Gothic" w:hAnsi="Century Gothic"/>
                <w:b/>
                <w:bCs/>
              </w:rPr>
            </w:pPr>
            <w:r w:rsidRPr="00C016DD">
              <w:rPr>
                <w:rFonts w:ascii="Century Gothic" w:hAnsi="Century Gothic"/>
                <w:b/>
                <w:bCs/>
              </w:rPr>
              <w:t>Importe</w:t>
            </w:r>
          </w:p>
        </w:tc>
      </w:tr>
      <w:tr w:rsidR="005B51DB" w:rsidRPr="00C016DD" w:rsidTr="005B51DB">
        <w:trPr>
          <w:trHeight w:val="330"/>
        </w:trPr>
        <w:tc>
          <w:tcPr>
            <w:tcW w:w="663" w:type="dxa"/>
            <w:noWrap/>
            <w:hideMark/>
          </w:tcPr>
          <w:p w:rsidR="005B51DB" w:rsidRPr="00C016DD" w:rsidRDefault="005B51DB" w:rsidP="005B51DB">
            <w:pPr>
              <w:tabs>
                <w:tab w:val="left" w:pos="426"/>
              </w:tabs>
              <w:jc w:val="center"/>
              <w:rPr>
                <w:rFonts w:ascii="Century Gothic" w:hAnsi="Century Gothic"/>
              </w:rPr>
            </w:pPr>
            <w:r w:rsidRPr="00C016DD">
              <w:rPr>
                <w:rFonts w:ascii="Century Gothic" w:hAnsi="Century Gothic"/>
              </w:rPr>
              <w:t>1</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Acciones Grupo de Oro, S.A. de C.V.</w:t>
            </w:r>
          </w:p>
        </w:tc>
        <w:tc>
          <w:tcPr>
            <w:tcW w:w="1858" w:type="dxa"/>
            <w:hideMark/>
          </w:tcPr>
          <w:p w:rsidR="005B51DB" w:rsidRPr="00C016DD" w:rsidRDefault="005B51DB" w:rsidP="005B51DB">
            <w:pPr>
              <w:tabs>
                <w:tab w:val="left" w:pos="426"/>
              </w:tabs>
              <w:jc w:val="right"/>
              <w:rPr>
                <w:rFonts w:ascii="Century Gothic" w:hAnsi="Century Gothic"/>
              </w:rPr>
            </w:pPr>
            <w:r w:rsidRPr="00C016DD">
              <w:rPr>
                <w:rFonts w:ascii="Century Gothic" w:hAnsi="Century Gothic"/>
              </w:rPr>
              <w:t xml:space="preserve">$ </w:t>
            </w:r>
            <w:r w:rsidR="0071031E" w:rsidRPr="00C016DD">
              <w:rPr>
                <w:rFonts w:ascii="Century Gothic" w:hAnsi="Century Gothic"/>
              </w:rPr>
              <w:t>22’</w:t>
            </w:r>
            <w:r w:rsidRPr="00C016DD">
              <w:rPr>
                <w:rFonts w:ascii="Century Gothic" w:hAnsi="Century Gothic"/>
              </w:rPr>
              <w:t>997,344.58</w:t>
            </w:r>
          </w:p>
        </w:tc>
      </w:tr>
      <w:tr w:rsidR="005B51DB" w:rsidRPr="00C016DD" w:rsidTr="005B51DB">
        <w:trPr>
          <w:trHeight w:val="330"/>
        </w:trPr>
        <w:tc>
          <w:tcPr>
            <w:tcW w:w="663" w:type="dxa"/>
            <w:noWrap/>
            <w:hideMark/>
          </w:tcPr>
          <w:p w:rsidR="005B51DB" w:rsidRPr="00C016DD" w:rsidRDefault="00E32AEB" w:rsidP="005B51DB">
            <w:pPr>
              <w:tabs>
                <w:tab w:val="left" w:pos="426"/>
              </w:tabs>
              <w:jc w:val="center"/>
              <w:rPr>
                <w:rFonts w:ascii="Century Gothic" w:hAnsi="Century Gothic"/>
              </w:rPr>
            </w:pPr>
            <w:r w:rsidRPr="00C016DD">
              <w:rPr>
                <w:rFonts w:ascii="Century Gothic" w:hAnsi="Century Gothic"/>
              </w:rPr>
              <w:t>2</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Constructora Limón, S.A. de C.V.</w:t>
            </w:r>
          </w:p>
        </w:tc>
        <w:tc>
          <w:tcPr>
            <w:tcW w:w="1858" w:type="dxa"/>
            <w:hideMark/>
          </w:tcPr>
          <w:p w:rsidR="005B51DB" w:rsidRPr="00C016DD" w:rsidRDefault="005B51DB" w:rsidP="005B51DB">
            <w:pPr>
              <w:tabs>
                <w:tab w:val="left" w:pos="426"/>
              </w:tabs>
              <w:jc w:val="right"/>
              <w:rPr>
                <w:rFonts w:ascii="Century Gothic" w:hAnsi="Century Gothic"/>
              </w:rPr>
            </w:pPr>
            <w:r w:rsidRPr="00C016DD">
              <w:rPr>
                <w:rFonts w:ascii="Century Gothic" w:hAnsi="Century Gothic"/>
              </w:rPr>
              <w:t xml:space="preserve">             951.23 </w:t>
            </w:r>
          </w:p>
        </w:tc>
      </w:tr>
      <w:tr w:rsidR="005B51DB" w:rsidRPr="00C016DD" w:rsidTr="005B51DB">
        <w:trPr>
          <w:trHeight w:val="330"/>
        </w:trPr>
        <w:tc>
          <w:tcPr>
            <w:tcW w:w="663" w:type="dxa"/>
            <w:noWrap/>
            <w:hideMark/>
          </w:tcPr>
          <w:p w:rsidR="005B51DB" w:rsidRPr="00C016DD" w:rsidRDefault="00E32AEB" w:rsidP="005B51DB">
            <w:pPr>
              <w:tabs>
                <w:tab w:val="left" w:pos="426"/>
              </w:tabs>
              <w:jc w:val="center"/>
              <w:rPr>
                <w:rFonts w:ascii="Century Gothic" w:hAnsi="Century Gothic"/>
              </w:rPr>
            </w:pPr>
            <w:r w:rsidRPr="00C016DD">
              <w:rPr>
                <w:rFonts w:ascii="Century Gothic" w:hAnsi="Century Gothic"/>
              </w:rPr>
              <w:t>3</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Corvic Supervisión y Construcción, S.A. de C.V.</w:t>
            </w:r>
          </w:p>
        </w:tc>
        <w:tc>
          <w:tcPr>
            <w:tcW w:w="1858" w:type="dxa"/>
            <w:hideMark/>
          </w:tcPr>
          <w:p w:rsidR="005B51DB" w:rsidRPr="00C016DD" w:rsidRDefault="005B51DB" w:rsidP="00BE51DD">
            <w:pPr>
              <w:tabs>
                <w:tab w:val="left" w:pos="426"/>
              </w:tabs>
              <w:jc w:val="right"/>
              <w:rPr>
                <w:rFonts w:ascii="Century Gothic" w:hAnsi="Century Gothic"/>
              </w:rPr>
            </w:pPr>
            <w:r w:rsidRPr="00C016DD">
              <w:rPr>
                <w:rFonts w:ascii="Century Gothic" w:hAnsi="Century Gothic"/>
              </w:rPr>
              <w:t xml:space="preserve">      </w:t>
            </w:r>
            <w:r w:rsidR="00BE51DD" w:rsidRPr="00C016DD">
              <w:rPr>
                <w:rFonts w:ascii="Century Gothic" w:hAnsi="Century Gothic"/>
              </w:rPr>
              <w:t>225,662.59</w:t>
            </w:r>
            <w:r w:rsidRPr="00C016DD">
              <w:rPr>
                <w:rFonts w:ascii="Century Gothic" w:hAnsi="Century Gothic"/>
              </w:rPr>
              <w:t xml:space="preserve"> </w:t>
            </w:r>
          </w:p>
        </w:tc>
      </w:tr>
      <w:tr w:rsidR="005B51DB" w:rsidRPr="00C016DD" w:rsidTr="005B51DB">
        <w:trPr>
          <w:trHeight w:val="330"/>
        </w:trPr>
        <w:tc>
          <w:tcPr>
            <w:tcW w:w="663" w:type="dxa"/>
            <w:noWrap/>
            <w:hideMark/>
          </w:tcPr>
          <w:p w:rsidR="005B51DB" w:rsidRPr="00C016DD" w:rsidRDefault="00E32AEB" w:rsidP="005B51DB">
            <w:pPr>
              <w:tabs>
                <w:tab w:val="left" w:pos="426"/>
              </w:tabs>
              <w:jc w:val="center"/>
              <w:rPr>
                <w:rFonts w:ascii="Century Gothic" w:hAnsi="Century Gothic"/>
              </w:rPr>
            </w:pPr>
            <w:r w:rsidRPr="00C016DD">
              <w:rPr>
                <w:rFonts w:ascii="Century Gothic" w:hAnsi="Century Gothic"/>
              </w:rPr>
              <w:t>4</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Grupo Baysa, S.A. de C.V.</w:t>
            </w:r>
          </w:p>
        </w:tc>
        <w:tc>
          <w:tcPr>
            <w:tcW w:w="1858" w:type="dxa"/>
            <w:hideMark/>
          </w:tcPr>
          <w:p w:rsidR="005B51DB" w:rsidRPr="00C016DD" w:rsidRDefault="0071031E" w:rsidP="005B51DB">
            <w:pPr>
              <w:tabs>
                <w:tab w:val="left" w:pos="426"/>
              </w:tabs>
              <w:jc w:val="right"/>
              <w:rPr>
                <w:rFonts w:ascii="Century Gothic" w:hAnsi="Century Gothic"/>
              </w:rPr>
            </w:pPr>
            <w:r w:rsidRPr="00C016DD">
              <w:rPr>
                <w:rFonts w:ascii="Century Gothic" w:hAnsi="Century Gothic"/>
              </w:rPr>
              <w:t xml:space="preserve">   3’</w:t>
            </w:r>
            <w:r w:rsidR="005B51DB" w:rsidRPr="00C016DD">
              <w:rPr>
                <w:rFonts w:ascii="Century Gothic" w:hAnsi="Century Gothic"/>
              </w:rPr>
              <w:t xml:space="preserve">281,131.29 </w:t>
            </w:r>
          </w:p>
        </w:tc>
      </w:tr>
      <w:tr w:rsidR="005B51DB" w:rsidRPr="00C016DD" w:rsidTr="005B51DB">
        <w:trPr>
          <w:trHeight w:val="330"/>
        </w:trPr>
        <w:tc>
          <w:tcPr>
            <w:tcW w:w="663" w:type="dxa"/>
            <w:noWrap/>
            <w:hideMark/>
          </w:tcPr>
          <w:p w:rsidR="005B51DB" w:rsidRPr="00C016DD" w:rsidRDefault="00E32AEB" w:rsidP="005B51DB">
            <w:pPr>
              <w:tabs>
                <w:tab w:val="left" w:pos="426"/>
              </w:tabs>
              <w:jc w:val="center"/>
              <w:rPr>
                <w:rFonts w:ascii="Century Gothic" w:hAnsi="Century Gothic"/>
              </w:rPr>
            </w:pPr>
            <w:r w:rsidRPr="00C016DD">
              <w:rPr>
                <w:rFonts w:ascii="Century Gothic" w:hAnsi="Century Gothic"/>
              </w:rPr>
              <w:t>5</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Ing. Javier Venegas Escalante</w:t>
            </w:r>
          </w:p>
        </w:tc>
        <w:tc>
          <w:tcPr>
            <w:tcW w:w="1858" w:type="dxa"/>
            <w:hideMark/>
          </w:tcPr>
          <w:p w:rsidR="005B51DB" w:rsidRPr="00C016DD" w:rsidRDefault="00BE51DD" w:rsidP="005B51DB">
            <w:pPr>
              <w:tabs>
                <w:tab w:val="left" w:pos="426"/>
              </w:tabs>
              <w:jc w:val="right"/>
              <w:rPr>
                <w:rFonts w:ascii="Century Gothic" w:hAnsi="Century Gothic"/>
              </w:rPr>
            </w:pPr>
            <w:r w:rsidRPr="00C016DD">
              <w:rPr>
                <w:rFonts w:ascii="Century Gothic" w:hAnsi="Century Gothic"/>
              </w:rPr>
              <w:t xml:space="preserve">      227,261.33</w:t>
            </w:r>
            <w:r w:rsidR="005B51DB" w:rsidRPr="00C016DD">
              <w:rPr>
                <w:rFonts w:ascii="Century Gothic" w:hAnsi="Century Gothic"/>
              </w:rPr>
              <w:t xml:space="preserve"> </w:t>
            </w:r>
          </w:p>
        </w:tc>
      </w:tr>
      <w:tr w:rsidR="005B51DB" w:rsidRPr="00C016DD" w:rsidTr="005B51DB">
        <w:trPr>
          <w:trHeight w:val="330"/>
        </w:trPr>
        <w:tc>
          <w:tcPr>
            <w:tcW w:w="663" w:type="dxa"/>
            <w:noWrap/>
            <w:hideMark/>
          </w:tcPr>
          <w:p w:rsidR="005B51DB" w:rsidRPr="00C016DD" w:rsidRDefault="00E32AEB" w:rsidP="005B51DB">
            <w:pPr>
              <w:tabs>
                <w:tab w:val="left" w:pos="426"/>
              </w:tabs>
              <w:jc w:val="center"/>
              <w:rPr>
                <w:rFonts w:ascii="Century Gothic" w:hAnsi="Century Gothic"/>
              </w:rPr>
            </w:pPr>
            <w:r w:rsidRPr="00C016DD">
              <w:rPr>
                <w:rFonts w:ascii="Century Gothic" w:hAnsi="Century Gothic"/>
              </w:rPr>
              <w:t>6</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Ingenieros Contratistas en Instalaciones, S.A. de C.V.</w:t>
            </w:r>
          </w:p>
        </w:tc>
        <w:tc>
          <w:tcPr>
            <w:tcW w:w="1858" w:type="dxa"/>
            <w:hideMark/>
          </w:tcPr>
          <w:p w:rsidR="005B51DB" w:rsidRPr="00C016DD" w:rsidRDefault="005B51DB" w:rsidP="006040C9">
            <w:pPr>
              <w:tabs>
                <w:tab w:val="left" w:pos="426"/>
              </w:tabs>
              <w:jc w:val="right"/>
              <w:rPr>
                <w:rFonts w:ascii="Century Gothic" w:hAnsi="Century Gothic"/>
              </w:rPr>
            </w:pPr>
            <w:r w:rsidRPr="00C016DD">
              <w:rPr>
                <w:rFonts w:ascii="Century Gothic" w:hAnsi="Century Gothic"/>
              </w:rPr>
              <w:t xml:space="preserve">      3</w:t>
            </w:r>
            <w:r w:rsidR="006040C9">
              <w:rPr>
                <w:rFonts w:ascii="Century Gothic" w:hAnsi="Century Gothic"/>
              </w:rPr>
              <w:t>1</w:t>
            </w:r>
            <w:r w:rsidRPr="00C016DD">
              <w:rPr>
                <w:rFonts w:ascii="Century Gothic" w:hAnsi="Century Gothic"/>
              </w:rPr>
              <w:t>3,</w:t>
            </w:r>
            <w:r w:rsidR="006040C9">
              <w:rPr>
                <w:rFonts w:ascii="Century Gothic" w:hAnsi="Century Gothic"/>
              </w:rPr>
              <w:t>023</w:t>
            </w:r>
            <w:r w:rsidRPr="00C016DD">
              <w:rPr>
                <w:rFonts w:ascii="Century Gothic" w:hAnsi="Century Gothic"/>
              </w:rPr>
              <w:t>.</w:t>
            </w:r>
            <w:r w:rsidR="006040C9">
              <w:rPr>
                <w:rFonts w:ascii="Century Gothic" w:hAnsi="Century Gothic"/>
              </w:rPr>
              <w:t>09</w:t>
            </w:r>
            <w:r w:rsidRPr="00C016DD">
              <w:rPr>
                <w:rFonts w:ascii="Century Gothic" w:hAnsi="Century Gothic"/>
              </w:rPr>
              <w:t xml:space="preserve"> </w:t>
            </w:r>
          </w:p>
        </w:tc>
      </w:tr>
      <w:tr w:rsidR="005B51DB" w:rsidRPr="00C016DD" w:rsidTr="005B51DB">
        <w:trPr>
          <w:trHeight w:val="330"/>
        </w:trPr>
        <w:tc>
          <w:tcPr>
            <w:tcW w:w="663" w:type="dxa"/>
            <w:noWrap/>
            <w:hideMark/>
          </w:tcPr>
          <w:p w:rsidR="005B51DB" w:rsidRPr="00C016DD" w:rsidRDefault="00E32AEB" w:rsidP="005B51DB">
            <w:pPr>
              <w:tabs>
                <w:tab w:val="left" w:pos="426"/>
              </w:tabs>
              <w:jc w:val="center"/>
              <w:rPr>
                <w:rFonts w:ascii="Century Gothic" w:hAnsi="Century Gothic"/>
              </w:rPr>
            </w:pPr>
            <w:r w:rsidRPr="00C016DD">
              <w:rPr>
                <w:rFonts w:ascii="Century Gothic" w:hAnsi="Century Gothic"/>
              </w:rPr>
              <w:t>7</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Objeto 1, S.A. de C.V.</w:t>
            </w:r>
          </w:p>
        </w:tc>
        <w:tc>
          <w:tcPr>
            <w:tcW w:w="1858" w:type="dxa"/>
            <w:hideMark/>
          </w:tcPr>
          <w:p w:rsidR="005B51DB" w:rsidRPr="00C016DD" w:rsidRDefault="0071031E" w:rsidP="005B51DB">
            <w:pPr>
              <w:tabs>
                <w:tab w:val="left" w:pos="426"/>
              </w:tabs>
              <w:jc w:val="right"/>
              <w:rPr>
                <w:rFonts w:ascii="Century Gothic" w:hAnsi="Century Gothic"/>
              </w:rPr>
            </w:pPr>
            <w:r w:rsidRPr="00C016DD">
              <w:rPr>
                <w:rFonts w:ascii="Century Gothic" w:hAnsi="Century Gothic"/>
              </w:rPr>
              <w:t xml:space="preserve">   2’</w:t>
            </w:r>
            <w:r w:rsidR="005B51DB" w:rsidRPr="00C016DD">
              <w:rPr>
                <w:rFonts w:ascii="Century Gothic" w:hAnsi="Century Gothic"/>
              </w:rPr>
              <w:t xml:space="preserve">493,408.40 </w:t>
            </w:r>
          </w:p>
        </w:tc>
      </w:tr>
      <w:tr w:rsidR="005B51DB" w:rsidRPr="00C016DD" w:rsidTr="005B51DB">
        <w:trPr>
          <w:trHeight w:val="330"/>
        </w:trPr>
        <w:tc>
          <w:tcPr>
            <w:tcW w:w="663" w:type="dxa"/>
            <w:noWrap/>
            <w:hideMark/>
          </w:tcPr>
          <w:p w:rsidR="005B51DB" w:rsidRPr="00C016DD" w:rsidRDefault="00A70973" w:rsidP="00A70973">
            <w:pPr>
              <w:tabs>
                <w:tab w:val="left" w:pos="426"/>
              </w:tabs>
              <w:jc w:val="center"/>
              <w:rPr>
                <w:rFonts w:ascii="Century Gothic" w:hAnsi="Century Gothic"/>
              </w:rPr>
            </w:pPr>
            <w:r w:rsidRPr="00C016DD">
              <w:rPr>
                <w:rFonts w:ascii="Century Gothic" w:hAnsi="Century Gothic"/>
              </w:rPr>
              <w:t>8</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Proyectos Integrales de Michoacán, S.A. de C.V.</w:t>
            </w:r>
          </w:p>
        </w:tc>
        <w:tc>
          <w:tcPr>
            <w:tcW w:w="1858" w:type="dxa"/>
            <w:hideMark/>
          </w:tcPr>
          <w:p w:rsidR="005B51DB" w:rsidRPr="00C016DD" w:rsidRDefault="005B51DB" w:rsidP="005B51DB">
            <w:pPr>
              <w:tabs>
                <w:tab w:val="left" w:pos="426"/>
              </w:tabs>
              <w:jc w:val="right"/>
              <w:rPr>
                <w:rFonts w:ascii="Century Gothic" w:hAnsi="Century Gothic"/>
              </w:rPr>
            </w:pPr>
            <w:r w:rsidRPr="00C016DD">
              <w:rPr>
                <w:rFonts w:ascii="Century Gothic" w:hAnsi="Century Gothic"/>
              </w:rPr>
              <w:t xml:space="preserve">      356,469.56 </w:t>
            </w:r>
          </w:p>
        </w:tc>
      </w:tr>
      <w:tr w:rsidR="005B51DB" w:rsidRPr="00C016DD" w:rsidTr="005B51DB">
        <w:trPr>
          <w:trHeight w:val="330"/>
        </w:trPr>
        <w:tc>
          <w:tcPr>
            <w:tcW w:w="663" w:type="dxa"/>
            <w:noWrap/>
            <w:hideMark/>
          </w:tcPr>
          <w:p w:rsidR="005B51DB" w:rsidRPr="00C016DD" w:rsidRDefault="00A70973" w:rsidP="005B51DB">
            <w:pPr>
              <w:tabs>
                <w:tab w:val="left" w:pos="426"/>
              </w:tabs>
              <w:jc w:val="center"/>
              <w:rPr>
                <w:rFonts w:ascii="Century Gothic" w:hAnsi="Century Gothic"/>
              </w:rPr>
            </w:pPr>
            <w:r w:rsidRPr="00C016DD">
              <w:rPr>
                <w:rFonts w:ascii="Century Gothic" w:hAnsi="Century Gothic"/>
              </w:rPr>
              <w:t>9</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Supervisores Técnicos, S.A. de C.V.</w:t>
            </w:r>
          </w:p>
        </w:tc>
        <w:tc>
          <w:tcPr>
            <w:tcW w:w="1858" w:type="dxa"/>
            <w:hideMark/>
          </w:tcPr>
          <w:p w:rsidR="005B51DB" w:rsidRPr="00C016DD" w:rsidRDefault="0071031E" w:rsidP="005B51DB">
            <w:pPr>
              <w:tabs>
                <w:tab w:val="left" w:pos="426"/>
              </w:tabs>
              <w:jc w:val="right"/>
              <w:rPr>
                <w:rFonts w:ascii="Century Gothic" w:hAnsi="Century Gothic"/>
              </w:rPr>
            </w:pPr>
            <w:r w:rsidRPr="00C016DD">
              <w:rPr>
                <w:rFonts w:ascii="Century Gothic" w:hAnsi="Century Gothic"/>
              </w:rPr>
              <w:t xml:space="preserve">   3’</w:t>
            </w:r>
            <w:r w:rsidR="005B51DB" w:rsidRPr="00C016DD">
              <w:rPr>
                <w:rFonts w:ascii="Century Gothic" w:hAnsi="Century Gothic"/>
              </w:rPr>
              <w:t xml:space="preserve">297,531.83 </w:t>
            </w:r>
          </w:p>
        </w:tc>
      </w:tr>
      <w:tr w:rsidR="005B51DB" w:rsidRPr="00C016DD" w:rsidTr="005B51DB">
        <w:trPr>
          <w:trHeight w:val="330"/>
        </w:trPr>
        <w:tc>
          <w:tcPr>
            <w:tcW w:w="663" w:type="dxa"/>
            <w:noWrap/>
            <w:hideMark/>
          </w:tcPr>
          <w:p w:rsidR="005B51DB" w:rsidRPr="00C016DD" w:rsidRDefault="00A70973" w:rsidP="005B51DB">
            <w:pPr>
              <w:tabs>
                <w:tab w:val="left" w:pos="426"/>
              </w:tabs>
              <w:jc w:val="center"/>
              <w:rPr>
                <w:rFonts w:ascii="Century Gothic" w:hAnsi="Century Gothic"/>
              </w:rPr>
            </w:pPr>
            <w:r w:rsidRPr="00C016DD">
              <w:rPr>
                <w:rFonts w:ascii="Century Gothic" w:hAnsi="Century Gothic"/>
              </w:rPr>
              <w:t>10</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Taller de Arquitectura Mauricio Rocha, S.C.</w:t>
            </w:r>
          </w:p>
        </w:tc>
        <w:tc>
          <w:tcPr>
            <w:tcW w:w="1858" w:type="dxa"/>
            <w:hideMark/>
          </w:tcPr>
          <w:p w:rsidR="005B51DB" w:rsidRPr="00C016DD" w:rsidRDefault="005B51DB" w:rsidP="005B51DB">
            <w:pPr>
              <w:tabs>
                <w:tab w:val="left" w:pos="426"/>
              </w:tabs>
              <w:jc w:val="right"/>
              <w:rPr>
                <w:rFonts w:ascii="Century Gothic" w:hAnsi="Century Gothic"/>
              </w:rPr>
            </w:pPr>
            <w:r w:rsidRPr="00C016DD">
              <w:rPr>
                <w:rFonts w:ascii="Century Gothic" w:hAnsi="Century Gothic"/>
              </w:rPr>
              <w:t xml:space="preserve">      314,520.79 </w:t>
            </w:r>
          </w:p>
        </w:tc>
      </w:tr>
      <w:tr w:rsidR="005B51DB" w:rsidRPr="00C016DD" w:rsidTr="005B51DB">
        <w:trPr>
          <w:trHeight w:val="330"/>
        </w:trPr>
        <w:tc>
          <w:tcPr>
            <w:tcW w:w="663" w:type="dxa"/>
            <w:noWrap/>
            <w:hideMark/>
          </w:tcPr>
          <w:p w:rsidR="005B51DB" w:rsidRPr="00C016DD" w:rsidRDefault="00A70973" w:rsidP="00A6106D">
            <w:pPr>
              <w:tabs>
                <w:tab w:val="left" w:pos="426"/>
              </w:tabs>
              <w:jc w:val="center"/>
              <w:rPr>
                <w:rFonts w:ascii="Century Gothic" w:hAnsi="Century Gothic"/>
              </w:rPr>
            </w:pPr>
            <w:r w:rsidRPr="00C016DD">
              <w:rPr>
                <w:rFonts w:ascii="Century Gothic" w:hAnsi="Century Gothic"/>
              </w:rPr>
              <w:t>1</w:t>
            </w:r>
            <w:r w:rsidR="00A6106D" w:rsidRPr="00C016DD">
              <w:rPr>
                <w:rFonts w:ascii="Century Gothic" w:hAnsi="Century Gothic"/>
              </w:rPr>
              <w:t>1</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Alismobile, S.A. de C.V.</w:t>
            </w:r>
          </w:p>
        </w:tc>
        <w:tc>
          <w:tcPr>
            <w:tcW w:w="1858" w:type="dxa"/>
            <w:hideMark/>
          </w:tcPr>
          <w:p w:rsidR="005B51DB" w:rsidRPr="00C016DD" w:rsidRDefault="0071031E" w:rsidP="005B51DB">
            <w:pPr>
              <w:tabs>
                <w:tab w:val="left" w:pos="426"/>
              </w:tabs>
              <w:jc w:val="right"/>
              <w:rPr>
                <w:rFonts w:ascii="Century Gothic" w:hAnsi="Century Gothic"/>
              </w:rPr>
            </w:pPr>
            <w:r w:rsidRPr="00C016DD">
              <w:rPr>
                <w:rFonts w:ascii="Century Gothic" w:hAnsi="Century Gothic"/>
              </w:rPr>
              <w:t xml:space="preserve">   8’</w:t>
            </w:r>
            <w:r w:rsidR="005B51DB" w:rsidRPr="00C016DD">
              <w:rPr>
                <w:rFonts w:ascii="Century Gothic" w:hAnsi="Century Gothic"/>
              </w:rPr>
              <w:t xml:space="preserve">068,007.51 </w:t>
            </w:r>
          </w:p>
        </w:tc>
      </w:tr>
      <w:tr w:rsidR="005B51DB" w:rsidRPr="00C016DD" w:rsidTr="005B51DB">
        <w:trPr>
          <w:trHeight w:val="330"/>
        </w:trPr>
        <w:tc>
          <w:tcPr>
            <w:tcW w:w="663" w:type="dxa"/>
            <w:noWrap/>
            <w:hideMark/>
          </w:tcPr>
          <w:p w:rsidR="005B51DB" w:rsidRPr="00C016DD" w:rsidRDefault="005B51DB" w:rsidP="005B51DB">
            <w:pPr>
              <w:tabs>
                <w:tab w:val="left" w:pos="426"/>
              </w:tabs>
              <w:jc w:val="both"/>
              <w:rPr>
                <w:rFonts w:ascii="Century Gothic" w:hAnsi="Century Gothic"/>
              </w:rPr>
            </w:pPr>
          </w:p>
        </w:tc>
        <w:tc>
          <w:tcPr>
            <w:tcW w:w="6533" w:type="dxa"/>
            <w:noWrap/>
            <w:hideMark/>
          </w:tcPr>
          <w:p w:rsidR="005B51DB" w:rsidRPr="00C016DD" w:rsidRDefault="005B51DB" w:rsidP="005B51DB">
            <w:pPr>
              <w:tabs>
                <w:tab w:val="left" w:pos="426"/>
              </w:tabs>
              <w:jc w:val="center"/>
              <w:rPr>
                <w:rFonts w:ascii="Century Gothic" w:hAnsi="Century Gothic"/>
                <w:b/>
                <w:bCs/>
              </w:rPr>
            </w:pPr>
            <w:r w:rsidRPr="00C016DD">
              <w:rPr>
                <w:rFonts w:ascii="Century Gothic" w:hAnsi="Century Gothic"/>
                <w:b/>
                <w:bCs/>
              </w:rPr>
              <w:t>Total</w:t>
            </w:r>
          </w:p>
        </w:tc>
        <w:tc>
          <w:tcPr>
            <w:tcW w:w="1858" w:type="dxa"/>
            <w:noWrap/>
            <w:hideMark/>
          </w:tcPr>
          <w:p w:rsidR="005B51DB" w:rsidRPr="00C016DD" w:rsidRDefault="005B51DB" w:rsidP="00F16E57">
            <w:pPr>
              <w:tabs>
                <w:tab w:val="left" w:pos="426"/>
              </w:tabs>
              <w:jc w:val="right"/>
              <w:rPr>
                <w:rFonts w:ascii="Century Gothic" w:hAnsi="Century Gothic"/>
                <w:b/>
                <w:bCs/>
              </w:rPr>
            </w:pPr>
            <w:r w:rsidRPr="00C016DD">
              <w:rPr>
                <w:rFonts w:ascii="Century Gothic" w:hAnsi="Century Gothic"/>
                <w:b/>
                <w:bCs/>
              </w:rPr>
              <w:t xml:space="preserve">$ </w:t>
            </w:r>
            <w:r w:rsidR="00F16E57">
              <w:rPr>
                <w:rFonts w:ascii="Century Gothic" w:hAnsi="Century Gothic"/>
                <w:b/>
                <w:bCs/>
              </w:rPr>
              <w:t>41’</w:t>
            </w:r>
            <w:r w:rsidR="00F16E57" w:rsidRPr="00F16E57">
              <w:rPr>
                <w:rFonts w:ascii="Century Gothic" w:hAnsi="Century Gothic"/>
                <w:b/>
                <w:bCs/>
              </w:rPr>
              <w:t>575,312.20</w:t>
            </w:r>
          </w:p>
        </w:tc>
      </w:tr>
    </w:tbl>
    <w:p w:rsidR="007B52ED" w:rsidRPr="00C016DD" w:rsidRDefault="007B52ED" w:rsidP="00B9550D">
      <w:pPr>
        <w:tabs>
          <w:tab w:val="left" w:pos="426"/>
        </w:tabs>
        <w:jc w:val="both"/>
        <w:rPr>
          <w:rFonts w:ascii="Century Gothic" w:hAnsi="Century Gothic"/>
        </w:rPr>
      </w:pPr>
    </w:p>
    <w:p w:rsidR="000C01DA" w:rsidRPr="00C016DD" w:rsidRDefault="000C01DA" w:rsidP="00B9550D">
      <w:pPr>
        <w:tabs>
          <w:tab w:val="left" w:pos="426"/>
        </w:tabs>
        <w:jc w:val="both"/>
        <w:rPr>
          <w:rFonts w:ascii="Century Gothic" w:hAnsi="Century Gothic"/>
        </w:rPr>
      </w:pPr>
    </w:p>
    <w:p w:rsidR="005B51DB" w:rsidRPr="00C016DD" w:rsidRDefault="00E15652" w:rsidP="00B9550D">
      <w:pPr>
        <w:tabs>
          <w:tab w:val="left" w:pos="426"/>
        </w:tabs>
        <w:jc w:val="both"/>
        <w:rPr>
          <w:rFonts w:ascii="Century Gothic" w:hAnsi="Century Gothic"/>
        </w:rPr>
      </w:pPr>
      <w:r w:rsidRPr="00C016DD">
        <w:rPr>
          <w:rFonts w:ascii="Century Gothic" w:hAnsi="Century Gothic"/>
          <w:b/>
        </w:rPr>
        <w:t>Retenciones y Contribuciones por Pagar</w:t>
      </w:r>
    </w:p>
    <w:p w:rsidR="00E15652" w:rsidRPr="00C016DD" w:rsidRDefault="00E15652" w:rsidP="00B9550D">
      <w:pPr>
        <w:tabs>
          <w:tab w:val="left" w:pos="426"/>
        </w:tabs>
        <w:jc w:val="both"/>
        <w:rPr>
          <w:rFonts w:ascii="Century Gothic" w:hAnsi="Century Gothic"/>
        </w:rPr>
      </w:pPr>
      <w:r w:rsidRPr="00C016DD">
        <w:rPr>
          <w:rFonts w:ascii="Century Gothic" w:hAnsi="Century Gothic"/>
        </w:rPr>
        <w:t>Su saldo representa las provisiones de retenciones de impuestos tanto de I.S.R. e I.V.A. por Servicios Profesionales, Arrendamiento y Subarrendamiento</w:t>
      </w:r>
      <w:r w:rsidR="003D5976" w:rsidRPr="00C016DD">
        <w:rPr>
          <w:rFonts w:ascii="Century Gothic" w:hAnsi="Century Gothic"/>
        </w:rPr>
        <w:t>, y que no representan una obligación de pago inmediata esto</w:t>
      </w:r>
      <w:r w:rsidR="008E1669" w:rsidRPr="00C016DD">
        <w:rPr>
          <w:rFonts w:ascii="Century Gothic" w:hAnsi="Century Gothic"/>
        </w:rPr>
        <w:t>,</w:t>
      </w:r>
      <w:r w:rsidR="003D5976" w:rsidRPr="00C016DD">
        <w:rPr>
          <w:rFonts w:ascii="Century Gothic" w:hAnsi="Century Gothic"/>
        </w:rPr>
        <w:t xml:space="preserve"> sucederá cuando se liquiden los pasivos de</w:t>
      </w:r>
      <w:r w:rsidR="008E1669" w:rsidRPr="00C016DD">
        <w:rPr>
          <w:rFonts w:ascii="Century Gothic" w:hAnsi="Century Gothic"/>
        </w:rPr>
        <w:t>l</w:t>
      </w:r>
      <w:r w:rsidR="003D5976" w:rsidRPr="00C016DD">
        <w:rPr>
          <w:rFonts w:ascii="Century Gothic" w:hAnsi="Century Gothic"/>
        </w:rPr>
        <w:t xml:space="preserve"> gasto de operación pendientes de pago; también se </w:t>
      </w:r>
      <w:r w:rsidR="003D5976" w:rsidRPr="00C016DD">
        <w:rPr>
          <w:rFonts w:ascii="Century Gothic" w:hAnsi="Century Gothic"/>
        </w:rPr>
        <w:lastRenderedPageBreak/>
        <w:t xml:space="preserve">incluyen las retenciones del 5 al millar efectuadas por pagos </w:t>
      </w:r>
      <w:r w:rsidR="008E1669" w:rsidRPr="00C016DD">
        <w:rPr>
          <w:rFonts w:ascii="Century Gothic" w:hAnsi="Century Gothic"/>
        </w:rPr>
        <w:t>de las estimaciones de los</w:t>
      </w:r>
      <w:r w:rsidR="003D5976" w:rsidRPr="00C016DD">
        <w:rPr>
          <w:rFonts w:ascii="Century Gothic" w:hAnsi="Century Gothic"/>
        </w:rPr>
        <w:t xml:space="preserve"> contratos de Obras Públicas y servicios relacionados con</w:t>
      </w:r>
      <w:r w:rsidR="008E1669" w:rsidRPr="00C016DD">
        <w:rPr>
          <w:rFonts w:ascii="Century Gothic" w:hAnsi="Century Gothic"/>
        </w:rPr>
        <w:t xml:space="preserve"> las mismas</w:t>
      </w:r>
      <w:r w:rsidR="003D5976" w:rsidRPr="00C016DD">
        <w:rPr>
          <w:rFonts w:ascii="Century Gothic" w:hAnsi="Century Gothic"/>
        </w:rPr>
        <w:t xml:space="preserve"> </w:t>
      </w:r>
      <w:r w:rsidRPr="00C016DD">
        <w:rPr>
          <w:rFonts w:ascii="Century Gothic" w:hAnsi="Century Gothic"/>
        </w:rPr>
        <w:t>y su integración es la siguiente:</w:t>
      </w:r>
    </w:p>
    <w:p w:rsidR="00A47E99" w:rsidRPr="00C016DD" w:rsidRDefault="00A47E99" w:rsidP="00B9550D">
      <w:pPr>
        <w:tabs>
          <w:tab w:val="left" w:pos="426"/>
        </w:tabs>
        <w:jc w:val="both"/>
        <w:rPr>
          <w:rFonts w:ascii="Century Gothic" w:hAnsi="Century Gothic"/>
        </w:rPr>
      </w:pPr>
    </w:p>
    <w:tbl>
      <w:tblPr>
        <w:tblStyle w:val="Tablaconcuadrcula"/>
        <w:tblW w:w="0" w:type="auto"/>
        <w:tblLook w:val="04A0" w:firstRow="1" w:lastRow="0" w:firstColumn="1" w:lastColumn="0" w:noHBand="0" w:noVBand="1"/>
      </w:tblPr>
      <w:tblGrid>
        <w:gridCol w:w="6629"/>
        <w:gridCol w:w="2349"/>
      </w:tblGrid>
      <w:tr w:rsidR="00BE1F7C" w:rsidRPr="00C016DD" w:rsidTr="00BE1F7C">
        <w:tc>
          <w:tcPr>
            <w:tcW w:w="6629" w:type="dxa"/>
            <w:shd w:val="clear" w:color="auto" w:fill="A6A6A6" w:themeFill="background1" w:themeFillShade="A6"/>
          </w:tcPr>
          <w:p w:rsidR="00BE1F7C" w:rsidRPr="00C016DD" w:rsidRDefault="00BE1F7C" w:rsidP="00BE1F7C">
            <w:pPr>
              <w:tabs>
                <w:tab w:val="left" w:pos="426"/>
              </w:tabs>
              <w:jc w:val="center"/>
              <w:rPr>
                <w:rFonts w:ascii="Century Gothic" w:hAnsi="Century Gothic"/>
                <w:b/>
              </w:rPr>
            </w:pPr>
            <w:r w:rsidRPr="00C016DD">
              <w:rPr>
                <w:rFonts w:ascii="Century Gothic" w:hAnsi="Century Gothic"/>
                <w:b/>
              </w:rPr>
              <w:t>Concepto</w:t>
            </w:r>
          </w:p>
        </w:tc>
        <w:tc>
          <w:tcPr>
            <w:tcW w:w="2349" w:type="dxa"/>
            <w:shd w:val="clear" w:color="auto" w:fill="A6A6A6" w:themeFill="background1" w:themeFillShade="A6"/>
          </w:tcPr>
          <w:p w:rsidR="00BE1F7C" w:rsidRPr="00C016DD" w:rsidRDefault="00BE1F7C" w:rsidP="00BE1F7C">
            <w:pPr>
              <w:tabs>
                <w:tab w:val="left" w:pos="426"/>
              </w:tabs>
              <w:jc w:val="center"/>
              <w:rPr>
                <w:rFonts w:ascii="Century Gothic" w:hAnsi="Century Gothic"/>
                <w:b/>
              </w:rPr>
            </w:pPr>
            <w:r w:rsidRPr="00C016DD">
              <w:rPr>
                <w:rFonts w:ascii="Century Gothic" w:hAnsi="Century Gothic"/>
                <w:b/>
              </w:rPr>
              <w:t>Importe</w:t>
            </w:r>
          </w:p>
        </w:tc>
      </w:tr>
      <w:tr w:rsidR="00BE1F7C" w:rsidRPr="00C016DD" w:rsidTr="003D5976">
        <w:tc>
          <w:tcPr>
            <w:tcW w:w="6629" w:type="dxa"/>
          </w:tcPr>
          <w:p w:rsidR="00BE1F7C" w:rsidRPr="00C016DD" w:rsidRDefault="00BE1F7C" w:rsidP="008E1669">
            <w:pPr>
              <w:tabs>
                <w:tab w:val="left" w:pos="426"/>
              </w:tabs>
              <w:jc w:val="both"/>
              <w:rPr>
                <w:rFonts w:ascii="Century Gothic" w:hAnsi="Century Gothic"/>
              </w:rPr>
            </w:pPr>
            <w:r w:rsidRPr="00C016DD">
              <w:rPr>
                <w:rFonts w:ascii="Century Gothic" w:hAnsi="Century Gothic"/>
              </w:rPr>
              <w:t>I.V.A.</w:t>
            </w:r>
            <w:r w:rsidR="008E1669" w:rsidRPr="00C016DD">
              <w:rPr>
                <w:rFonts w:ascii="Century Gothic" w:hAnsi="Century Gothic"/>
              </w:rPr>
              <w:t xml:space="preserve"> </w:t>
            </w:r>
            <w:r w:rsidRPr="00C016DD">
              <w:rPr>
                <w:rFonts w:ascii="Century Gothic" w:hAnsi="Century Gothic"/>
              </w:rPr>
              <w:t>Retención por Honorarios, Arrendamiento y Subarrendamiento</w:t>
            </w:r>
          </w:p>
        </w:tc>
        <w:tc>
          <w:tcPr>
            <w:tcW w:w="2349" w:type="dxa"/>
            <w:vAlign w:val="center"/>
          </w:tcPr>
          <w:p w:rsidR="00BE1F7C" w:rsidRPr="00C016DD" w:rsidRDefault="00BE1F7C" w:rsidP="000C7223">
            <w:pPr>
              <w:tabs>
                <w:tab w:val="left" w:pos="426"/>
              </w:tabs>
              <w:jc w:val="right"/>
              <w:rPr>
                <w:rFonts w:ascii="Century Gothic" w:hAnsi="Century Gothic"/>
              </w:rPr>
            </w:pPr>
            <w:r w:rsidRPr="00C016DD">
              <w:rPr>
                <w:rFonts w:ascii="Century Gothic" w:hAnsi="Century Gothic"/>
              </w:rPr>
              <w:t>$ 1’04</w:t>
            </w:r>
            <w:r w:rsidR="000C7223">
              <w:rPr>
                <w:rFonts w:ascii="Century Gothic" w:hAnsi="Century Gothic"/>
              </w:rPr>
              <w:t>3</w:t>
            </w:r>
            <w:r w:rsidRPr="00C016DD">
              <w:rPr>
                <w:rFonts w:ascii="Century Gothic" w:hAnsi="Century Gothic"/>
              </w:rPr>
              <w:t>,</w:t>
            </w:r>
            <w:r w:rsidR="000C7223">
              <w:rPr>
                <w:rFonts w:ascii="Century Gothic" w:hAnsi="Century Gothic"/>
              </w:rPr>
              <w:t>032</w:t>
            </w:r>
            <w:r w:rsidRPr="00C016DD">
              <w:rPr>
                <w:rFonts w:ascii="Century Gothic" w:hAnsi="Century Gothic"/>
              </w:rPr>
              <w:t>.</w:t>
            </w:r>
            <w:r w:rsidR="000C7223">
              <w:rPr>
                <w:rFonts w:ascii="Century Gothic" w:hAnsi="Century Gothic"/>
              </w:rPr>
              <w:t>3</w:t>
            </w:r>
            <w:r w:rsidRPr="00C016DD">
              <w:rPr>
                <w:rFonts w:ascii="Century Gothic" w:hAnsi="Century Gothic"/>
              </w:rPr>
              <w:t>6</w:t>
            </w:r>
          </w:p>
        </w:tc>
      </w:tr>
      <w:tr w:rsidR="00BE1F7C" w:rsidRPr="00C016DD" w:rsidTr="003D5976">
        <w:tc>
          <w:tcPr>
            <w:tcW w:w="6629" w:type="dxa"/>
          </w:tcPr>
          <w:p w:rsidR="00BE1F7C" w:rsidRPr="00C016DD" w:rsidRDefault="00BE1F7C" w:rsidP="00B9550D">
            <w:pPr>
              <w:tabs>
                <w:tab w:val="left" w:pos="426"/>
              </w:tabs>
              <w:jc w:val="both"/>
              <w:rPr>
                <w:rFonts w:ascii="Century Gothic" w:hAnsi="Century Gothic"/>
              </w:rPr>
            </w:pPr>
            <w:r w:rsidRPr="00C016DD">
              <w:rPr>
                <w:rFonts w:ascii="Century Gothic" w:hAnsi="Century Gothic"/>
              </w:rPr>
              <w:t>I.S.R. Retención por Honorarios, Arrendamiento y Subarrendamiento</w:t>
            </w:r>
          </w:p>
        </w:tc>
        <w:tc>
          <w:tcPr>
            <w:tcW w:w="2349" w:type="dxa"/>
            <w:vAlign w:val="center"/>
          </w:tcPr>
          <w:p w:rsidR="00BE1F7C" w:rsidRPr="00C016DD" w:rsidRDefault="00BE1F7C" w:rsidP="000C7223">
            <w:pPr>
              <w:tabs>
                <w:tab w:val="left" w:pos="426"/>
              </w:tabs>
              <w:jc w:val="right"/>
              <w:rPr>
                <w:rFonts w:ascii="Century Gothic" w:hAnsi="Century Gothic"/>
              </w:rPr>
            </w:pPr>
            <w:r w:rsidRPr="00C016DD">
              <w:rPr>
                <w:rFonts w:ascii="Century Gothic" w:hAnsi="Century Gothic"/>
              </w:rPr>
              <w:t>88</w:t>
            </w:r>
            <w:r w:rsidR="00DD3351">
              <w:rPr>
                <w:rFonts w:ascii="Century Gothic" w:hAnsi="Century Gothic"/>
              </w:rPr>
              <w:t>6</w:t>
            </w:r>
            <w:r w:rsidRPr="00C016DD">
              <w:rPr>
                <w:rFonts w:ascii="Century Gothic" w:hAnsi="Century Gothic"/>
              </w:rPr>
              <w:t>,5</w:t>
            </w:r>
            <w:r w:rsidR="00DD3351">
              <w:rPr>
                <w:rFonts w:ascii="Century Gothic" w:hAnsi="Century Gothic"/>
              </w:rPr>
              <w:t>83</w:t>
            </w:r>
            <w:r w:rsidRPr="00C016DD">
              <w:rPr>
                <w:rFonts w:ascii="Century Gothic" w:hAnsi="Century Gothic"/>
              </w:rPr>
              <w:t>.</w:t>
            </w:r>
            <w:r w:rsidR="000C7223">
              <w:rPr>
                <w:rFonts w:ascii="Century Gothic" w:hAnsi="Century Gothic"/>
              </w:rPr>
              <w:t>77</w:t>
            </w:r>
          </w:p>
        </w:tc>
      </w:tr>
      <w:tr w:rsidR="00BE1F7C" w:rsidRPr="00C016DD" w:rsidTr="003D5976">
        <w:tc>
          <w:tcPr>
            <w:tcW w:w="6629" w:type="dxa"/>
          </w:tcPr>
          <w:p w:rsidR="00BE1F7C" w:rsidRPr="00C016DD" w:rsidRDefault="00BE1F7C" w:rsidP="00BE1F7C">
            <w:pPr>
              <w:tabs>
                <w:tab w:val="left" w:pos="426"/>
              </w:tabs>
              <w:jc w:val="both"/>
              <w:rPr>
                <w:rFonts w:ascii="Century Gothic" w:hAnsi="Century Gothic"/>
              </w:rPr>
            </w:pPr>
            <w:r w:rsidRPr="00C016DD">
              <w:rPr>
                <w:rFonts w:ascii="Century Gothic" w:hAnsi="Century Gothic"/>
              </w:rPr>
              <w:t xml:space="preserve">Retención del 5 al Millar por Obras </w:t>
            </w:r>
          </w:p>
        </w:tc>
        <w:tc>
          <w:tcPr>
            <w:tcW w:w="2349" w:type="dxa"/>
            <w:vAlign w:val="center"/>
          </w:tcPr>
          <w:p w:rsidR="00BE1F7C" w:rsidRPr="00C016DD" w:rsidRDefault="00F92940" w:rsidP="00117F54">
            <w:pPr>
              <w:tabs>
                <w:tab w:val="left" w:pos="426"/>
              </w:tabs>
              <w:jc w:val="right"/>
              <w:rPr>
                <w:rFonts w:ascii="Century Gothic" w:hAnsi="Century Gothic"/>
              </w:rPr>
            </w:pPr>
            <w:r w:rsidRPr="00C016DD">
              <w:rPr>
                <w:rFonts w:ascii="Century Gothic" w:hAnsi="Century Gothic"/>
              </w:rPr>
              <w:t>4</w:t>
            </w:r>
            <w:r w:rsidR="00BE1F7C" w:rsidRPr="00C016DD">
              <w:rPr>
                <w:rFonts w:ascii="Century Gothic" w:hAnsi="Century Gothic"/>
              </w:rPr>
              <w:t>,</w:t>
            </w:r>
            <w:r w:rsidR="00117F54">
              <w:rPr>
                <w:rFonts w:ascii="Century Gothic" w:hAnsi="Century Gothic"/>
              </w:rPr>
              <w:t>394</w:t>
            </w:r>
            <w:r w:rsidR="00BE1F7C" w:rsidRPr="00C016DD">
              <w:rPr>
                <w:rFonts w:ascii="Century Gothic" w:hAnsi="Century Gothic"/>
              </w:rPr>
              <w:t>.</w:t>
            </w:r>
            <w:r w:rsidR="00117F54">
              <w:rPr>
                <w:rFonts w:ascii="Century Gothic" w:hAnsi="Century Gothic"/>
              </w:rPr>
              <w:t>6</w:t>
            </w:r>
            <w:r w:rsidRPr="00C016DD">
              <w:rPr>
                <w:rFonts w:ascii="Century Gothic" w:hAnsi="Century Gothic"/>
              </w:rPr>
              <w:t>9</w:t>
            </w:r>
          </w:p>
        </w:tc>
      </w:tr>
      <w:tr w:rsidR="00BE1F7C" w:rsidRPr="00C016DD" w:rsidTr="003D5976">
        <w:tc>
          <w:tcPr>
            <w:tcW w:w="6629" w:type="dxa"/>
          </w:tcPr>
          <w:p w:rsidR="00BE1F7C" w:rsidRPr="00C016DD" w:rsidRDefault="00BE1F7C" w:rsidP="00BE1F7C">
            <w:pPr>
              <w:tabs>
                <w:tab w:val="left" w:pos="426"/>
              </w:tabs>
              <w:jc w:val="center"/>
              <w:rPr>
                <w:rFonts w:ascii="Century Gothic" w:hAnsi="Century Gothic"/>
                <w:b/>
              </w:rPr>
            </w:pPr>
            <w:r w:rsidRPr="00C016DD">
              <w:rPr>
                <w:rFonts w:ascii="Century Gothic" w:hAnsi="Century Gothic"/>
                <w:b/>
              </w:rPr>
              <w:t>Total</w:t>
            </w:r>
          </w:p>
        </w:tc>
        <w:tc>
          <w:tcPr>
            <w:tcW w:w="2349" w:type="dxa"/>
            <w:vAlign w:val="center"/>
          </w:tcPr>
          <w:p w:rsidR="00BE1F7C" w:rsidRPr="00C016DD" w:rsidRDefault="00BE1F7C" w:rsidP="00C1078A">
            <w:pPr>
              <w:tabs>
                <w:tab w:val="left" w:pos="426"/>
              </w:tabs>
              <w:jc w:val="right"/>
              <w:rPr>
                <w:rFonts w:ascii="Century Gothic" w:hAnsi="Century Gothic"/>
                <w:b/>
              </w:rPr>
            </w:pPr>
            <w:r w:rsidRPr="00C016DD">
              <w:rPr>
                <w:rFonts w:ascii="Century Gothic" w:hAnsi="Century Gothic"/>
                <w:b/>
              </w:rPr>
              <w:t xml:space="preserve">$ </w:t>
            </w:r>
            <w:r w:rsidR="00B96B93" w:rsidRPr="00C016DD">
              <w:rPr>
                <w:rFonts w:ascii="Century Gothic" w:hAnsi="Century Gothic"/>
                <w:b/>
              </w:rPr>
              <w:t xml:space="preserve"> 1'93</w:t>
            </w:r>
            <w:r w:rsidR="00117F54">
              <w:rPr>
                <w:rFonts w:ascii="Century Gothic" w:hAnsi="Century Gothic"/>
                <w:b/>
              </w:rPr>
              <w:t>4</w:t>
            </w:r>
            <w:r w:rsidR="00B96B93" w:rsidRPr="00C016DD">
              <w:rPr>
                <w:rFonts w:ascii="Century Gothic" w:hAnsi="Century Gothic"/>
                <w:b/>
              </w:rPr>
              <w:t>,</w:t>
            </w:r>
            <w:r w:rsidR="00117F54">
              <w:rPr>
                <w:rFonts w:ascii="Century Gothic" w:hAnsi="Century Gothic"/>
                <w:b/>
              </w:rPr>
              <w:t>010</w:t>
            </w:r>
            <w:r w:rsidR="00B96B93" w:rsidRPr="00C016DD">
              <w:rPr>
                <w:rFonts w:ascii="Century Gothic" w:hAnsi="Century Gothic"/>
                <w:b/>
              </w:rPr>
              <w:t>.</w:t>
            </w:r>
            <w:r w:rsidR="00117F54">
              <w:rPr>
                <w:rFonts w:ascii="Century Gothic" w:hAnsi="Century Gothic"/>
                <w:b/>
              </w:rPr>
              <w:t>8</w:t>
            </w:r>
            <w:r w:rsidR="00C1078A">
              <w:rPr>
                <w:rFonts w:ascii="Century Gothic" w:hAnsi="Century Gothic"/>
                <w:b/>
              </w:rPr>
              <w:t>2</w:t>
            </w:r>
          </w:p>
        </w:tc>
      </w:tr>
    </w:tbl>
    <w:p w:rsidR="003D5976" w:rsidRPr="00C016DD" w:rsidRDefault="003D5976" w:rsidP="00B9550D">
      <w:pPr>
        <w:tabs>
          <w:tab w:val="left" w:pos="426"/>
        </w:tabs>
        <w:jc w:val="both"/>
        <w:rPr>
          <w:rFonts w:ascii="Century Gothic" w:hAnsi="Century Gothic"/>
        </w:rPr>
      </w:pPr>
    </w:p>
    <w:p w:rsidR="00C87E1B" w:rsidRPr="00C016DD" w:rsidRDefault="00C87E1B" w:rsidP="00B9550D">
      <w:pPr>
        <w:tabs>
          <w:tab w:val="left" w:pos="426"/>
        </w:tabs>
        <w:jc w:val="both"/>
        <w:rPr>
          <w:rFonts w:ascii="Century Gothic" w:hAnsi="Century Gothic"/>
        </w:rPr>
      </w:pPr>
    </w:p>
    <w:p w:rsidR="003D5976" w:rsidRPr="00C016DD" w:rsidRDefault="00A07C73" w:rsidP="00B9550D">
      <w:pPr>
        <w:tabs>
          <w:tab w:val="left" w:pos="426"/>
        </w:tabs>
        <w:jc w:val="both"/>
        <w:rPr>
          <w:rFonts w:ascii="Century Gothic" w:hAnsi="Century Gothic"/>
          <w:b/>
        </w:rPr>
      </w:pPr>
      <w:r w:rsidRPr="00C016DD">
        <w:rPr>
          <w:rFonts w:ascii="Century Gothic" w:hAnsi="Century Gothic"/>
          <w:b/>
        </w:rPr>
        <w:t>II</w:t>
      </w:r>
      <w:r w:rsidRPr="00C016DD">
        <w:rPr>
          <w:rFonts w:ascii="Century Gothic" w:hAnsi="Century Gothic"/>
          <w:b/>
        </w:rPr>
        <w:tab/>
        <w:t>Notas al Estado de Actividades</w:t>
      </w:r>
    </w:p>
    <w:p w:rsidR="00C87E1B" w:rsidRPr="00C016DD" w:rsidRDefault="00C87E1B" w:rsidP="00B9550D">
      <w:pPr>
        <w:tabs>
          <w:tab w:val="left" w:pos="426"/>
        </w:tabs>
        <w:jc w:val="both"/>
        <w:rPr>
          <w:rFonts w:ascii="Century Gothic" w:hAnsi="Century Gothic"/>
          <w:b/>
        </w:rPr>
      </w:pPr>
    </w:p>
    <w:p w:rsidR="00A07C73" w:rsidRPr="00C016DD" w:rsidRDefault="00A07C73" w:rsidP="00B9550D">
      <w:pPr>
        <w:tabs>
          <w:tab w:val="left" w:pos="426"/>
        </w:tabs>
        <w:jc w:val="both"/>
        <w:rPr>
          <w:rFonts w:ascii="Century Gothic" w:hAnsi="Century Gothic"/>
          <w:b/>
        </w:rPr>
      </w:pPr>
      <w:r w:rsidRPr="00C016DD">
        <w:rPr>
          <w:rFonts w:ascii="Century Gothic" w:hAnsi="Century Gothic"/>
          <w:b/>
        </w:rPr>
        <w:tab/>
        <w:t>Ingresos Financieros</w:t>
      </w:r>
    </w:p>
    <w:p w:rsidR="00C87E1B" w:rsidRPr="00C016DD" w:rsidRDefault="00C87E1B" w:rsidP="00B9550D">
      <w:pPr>
        <w:tabs>
          <w:tab w:val="left" w:pos="426"/>
        </w:tabs>
        <w:jc w:val="both"/>
        <w:rPr>
          <w:rFonts w:ascii="Century Gothic" w:hAnsi="Century Gothic"/>
        </w:rPr>
      </w:pPr>
    </w:p>
    <w:tbl>
      <w:tblPr>
        <w:tblStyle w:val="Tablaconcuadrcula"/>
        <w:tblW w:w="0" w:type="auto"/>
        <w:jc w:val="center"/>
        <w:tblInd w:w="-363" w:type="dxa"/>
        <w:tblLook w:val="04A0" w:firstRow="1" w:lastRow="0" w:firstColumn="1" w:lastColumn="0" w:noHBand="0" w:noVBand="1"/>
      </w:tblPr>
      <w:tblGrid>
        <w:gridCol w:w="3986"/>
        <w:gridCol w:w="1931"/>
      </w:tblGrid>
      <w:tr w:rsidR="00A07C73" w:rsidRPr="00C016DD" w:rsidTr="00613D4D">
        <w:trPr>
          <w:jc w:val="center"/>
        </w:trPr>
        <w:tc>
          <w:tcPr>
            <w:tcW w:w="3986" w:type="dxa"/>
            <w:shd w:val="clear" w:color="auto" w:fill="A6A6A6" w:themeFill="background1" w:themeFillShade="A6"/>
          </w:tcPr>
          <w:p w:rsidR="00A07C73" w:rsidRPr="00C016DD" w:rsidRDefault="00A07C73" w:rsidP="00A07C73">
            <w:pPr>
              <w:tabs>
                <w:tab w:val="left" w:pos="426"/>
              </w:tabs>
              <w:jc w:val="center"/>
              <w:rPr>
                <w:rFonts w:ascii="Century Gothic" w:hAnsi="Century Gothic"/>
                <w:b/>
              </w:rPr>
            </w:pPr>
            <w:r w:rsidRPr="00C016DD">
              <w:rPr>
                <w:rFonts w:ascii="Century Gothic" w:hAnsi="Century Gothic"/>
                <w:b/>
              </w:rPr>
              <w:t>Cuenta Bancaria</w:t>
            </w:r>
          </w:p>
        </w:tc>
        <w:tc>
          <w:tcPr>
            <w:tcW w:w="1931" w:type="dxa"/>
            <w:shd w:val="clear" w:color="auto" w:fill="A6A6A6" w:themeFill="background1" w:themeFillShade="A6"/>
          </w:tcPr>
          <w:p w:rsidR="00A07C73" w:rsidRPr="00C016DD" w:rsidRDefault="00A07C73" w:rsidP="00A07C73">
            <w:pPr>
              <w:tabs>
                <w:tab w:val="left" w:pos="426"/>
              </w:tabs>
              <w:jc w:val="center"/>
              <w:rPr>
                <w:rFonts w:ascii="Century Gothic" w:hAnsi="Century Gothic"/>
                <w:b/>
              </w:rPr>
            </w:pPr>
            <w:r w:rsidRPr="00C016DD">
              <w:rPr>
                <w:rFonts w:ascii="Century Gothic" w:hAnsi="Century Gothic"/>
                <w:b/>
              </w:rPr>
              <w:t>Importe</w:t>
            </w:r>
          </w:p>
        </w:tc>
      </w:tr>
      <w:tr w:rsidR="00A07C73" w:rsidRPr="00C016DD" w:rsidTr="00613D4D">
        <w:trPr>
          <w:jc w:val="center"/>
        </w:trPr>
        <w:tc>
          <w:tcPr>
            <w:tcW w:w="3986" w:type="dxa"/>
          </w:tcPr>
          <w:p w:rsidR="00A07C73" w:rsidRPr="00C016DD" w:rsidRDefault="00A07C73" w:rsidP="00B9550D">
            <w:pPr>
              <w:tabs>
                <w:tab w:val="left" w:pos="426"/>
              </w:tabs>
              <w:jc w:val="both"/>
              <w:rPr>
                <w:rFonts w:ascii="Century Gothic" w:hAnsi="Century Gothic" w:cstheme="minorHAnsi"/>
              </w:rPr>
            </w:pPr>
            <w:r w:rsidRPr="00C016DD">
              <w:rPr>
                <w:rFonts w:ascii="Century Gothic" w:hAnsi="Century Gothic" w:cstheme="minorHAnsi"/>
              </w:rPr>
              <w:t>Banamex 106769-7</w:t>
            </w:r>
          </w:p>
        </w:tc>
        <w:tc>
          <w:tcPr>
            <w:tcW w:w="1931" w:type="dxa"/>
          </w:tcPr>
          <w:p w:rsidR="00A07C73" w:rsidRPr="00C016DD" w:rsidRDefault="00A07C73" w:rsidP="00596D34">
            <w:pPr>
              <w:tabs>
                <w:tab w:val="left" w:pos="426"/>
              </w:tabs>
              <w:jc w:val="right"/>
              <w:rPr>
                <w:rFonts w:ascii="Century Gothic" w:hAnsi="Century Gothic" w:cstheme="minorHAnsi"/>
              </w:rPr>
            </w:pPr>
            <w:r w:rsidRPr="00C016DD">
              <w:rPr>
                <w:rFonts w:ascii="Century Gothic" w:hAnsi="Century Gothic" w:cstheme="minorHAnsi"/>
              </w:rPr>
              <w:t>$</w:t>
            </w:r>
            <w:r w:rsidR="00C016DD" w:rsidRPr="00C016DD">
              <w:rPr>
                <w:rFonts w:ascii="Century Gothic" w:hAnsi="Century Gothic" w:cstheme="minorHAnsi"/>
              </w:rPr>
              <w:t xml:space="preserve">   </w:t>
            </w:r>
            <w:r w:rsidRPr="00C016DD">
              <w:rPr>
                <w:rFonts w:ascii="Century Gothic" w:hAnsi="Century Gothic" w:cstheme="minorHAnsi"/>
              </w:rPr>
              <w:t xml:space="preserve"> </w:t>
            </w:r>
            <w:r w:rsidR="00596D34">
              <w:rPr>
                <w:rFonts w:ascii="Century Gothic" w:hAnsi="Century Gothic" w:cstheme="minorHAnsi"/>
              </w:rPr>
              <w:t>602,617.68</w:t>
            </w:r>
          </w:p>
        </w:tc>
      </w:tr>
    </w:tbl>
    <w:p w:rsidR="00A07C73" w:rsidRPr="00C016DD" w:rsidRDefault="00A07C73" w:rsidP="00B9550D">
      <w:pPr>
        <w:tabs>
          <w:tab w:val="left" w:pos="426"/>
        </w:tabs>
        <w:jc w:val="both"/>
        <w:rPr>
          <w:rFonts w:ascii="Century Gothic" w:hAnsi="Century Gothic"/>
        </w:rPr>
      </w:pPr>
    </w:p>
    <w:p w:rsidR="00DA60A1" w:rsidRPr="00C016DD" w:rsidRDefault="00DA60A1" w:rsidP="00B9550D">
      <w:pPr>
        <w:tabs>
          <w:tab w:val="left" w:pos="426"/>
        </w:tabs>
        <w:jc w:val="both"/>
        <w:rPr>
          <w:rFonts w:ascii="Century Gothic" w:hAnsi="Century Gothic"/>
        </w:rPr>
      </w:pPr>
    </w:p>
    <w:p w:rsidR="00A07C73" w:rsidRPr="00C016DD" w:rsidRDefault="00DA60A1" w:rsidP="00B9550D">
      <w:pPr>
        <w:tabs>
          <w:tab w:val="left" w:pos="426"/>
        </w:tabs>
        <w:jc w:val="both"/>
        <w:rPr>
          <w:rFonts w:ascii="Century Gothic" w:hAnsi="Century Gothic"/>
          <w:b/>
        </w:rPr>
      </w:pPr>
      <w:r w:rsidRPr="00C016DD">
        <w:rPr>
          <w:rFonts w:ascii="Century Gothic" w:hAnsi="Century Gothic"/>
          <w:b/>
        </w:rPr>
        <w:tab/>
      </w:r>
      <w:r w:rsidR="00A07C73" w:rsidRPr="00C016DD">
        <w:rPr>
          <w:rFonts w:ascii="Century Gothic" w:hAnsi="Century Gothic"/>
          <w:b/>
        </w:rPr>
        <w:t>Gastos y Otras Pérdidas</w:t>
      </w:r>
    </w:p>
    <w:p w:rsidR="00C87E1B" w:rsidRPr="00C016DD" w:rsidRDefault="00C87E1B" w:rsidP="00B9550D">
      <w:pPr>
        <w:tabs>
          <w:tab w:val="left" w:pos="426"/>
        </w:tabs>
        <w:jc w:val="both"/>
        <w:rPr>
          <w:rFonts w:ascii="Century Gothic" w:hAnsi="Century Gothic"/>
        </w:rPr>
      </w:pPr>
    </w:p>
    <w:tbl>
      <w:tblPr>
        <w:tblStyle w:val="Tablaconcuadrcula"/>
        <w:tblW w:w="0" w:type="auto"/>
        <w:jc w:val="center"/>
        <w:tblInd w:w="-819" w:type="dxa"/>
        <w:tblLook w:val="04A0" w:firstRow="1" w:lastRow="0" w:firstColumn="1" w:lastColumn="0" w:noHBand="0" w:noVBand="1"/>
      </w:tblPr>
      <w:tblGrid>
        <w:gridCol w:w="3953"/>
        <w:gridCol w:w="2017"/>
      </w:tblGrid>
      <w:tr w:rsidR="00DA60A1" w:rsidRPr="00C016DD" w:rsidTr="00D57B5B">
        <w:trPr>
          <w:jc w:val="center"/>
        </w:trPr>
        <w:tc>
          <w:tcPr>
            <w:tcW w:w="3953" w:type="dxa"/>
            <w:shd w:val="clear" w:color="auto" w:fill="A6A6A6" w:themeFill="background1" w:themeFillShade="A6"/>
          </w:tcPr>
          <w:p w:rsidR="00DA60A1" w:rsidRPr="00C016DD" w:rsidRDefault="00DA60A1" w:rsidP="00EE7D97">
            <w:pPr>
              <w:tabs>
                <w:tab w:val="left" w:pos="426"/>
              </w:tabs>
              <w:jc w:val="center"/>
              <w:rPr>
                <w:rFonts w:ascii="Century Gothic" w:hAnsi="Century Gothic"/>
                <w:b/>
              </w:rPr>
            </w:pPr>
            <w:r w:rsidRPr="00C016DD">
              <w:rPr>
                <w:rFonts w:ascii="Century Gothic" w:hAnsi="Century Gothic"/>
                <w:b/>
              </w:rPr>
              <w:t>Concepto</w:t>
            </w:r>
          </w:p>
        </w:tc>
        <w:tc>
          <w:tcPr>
            <w:tcW w:w="2017" w:type="dxa"/>
            <w:shd w:val="clear" w:color="auto" w:fill="A6A6A6" w:themeFill="background1" w:themeFillShade="A6"/>
          </w:tcPr>
          <w:p w:rsidR="00DA60A1" w:rsidRPr="00C016DD" w:rsidRDefault="00DA60A1" w:rsidP="00EE7D97">
            <w:pPr>
              <w:tabs>
                <w:tab w:val="left" w:pos="426"/>
              </w:tabs>
              <w:jc w:val="center"/>
              <w:rPr>
                <w:rFonts w:ascii="Century Gothic" w:hAnsi="Century Gothic"/>
                <w:b/>
              </w:rPr>
            </w:pPr>
            <w:r w:rsidRPr="00C016DD">
              <w:rPr>
                <w:rFonts w:ascii="Century Gothic" w:hAnsi="Century Gothic"/>
                <w:b/>
              </w:rPr>
              <w:t>Importe</w:t>
            </w:r>
          </w:p>
        </w:tc>
      </w:tr>
      <w:tr w:rsidR="00DA60A1" w:rsidRPr="00C016DD" w:rsidTr="00D57B5B">
        <w:trPr>
          <w:jc w:val="center"/>
        </w:trPr>
        <w:tc>
          <w:tcPr>
            <w:tcW w:w="3953" w:type="dxa"/>
          </w:tcPr>
          <w:p w:rsidR="00DA60A1" w:rsidRPr="00C016DD" w:rsidRDefault="00DA60A1" w:rsidP="00EE7D97">
            <w:pPr>
              <w:tabs>
                <w:tab w:val="left" w:pos="426"/>
              </w:tabs>
              <w:jc w:val="both"/>
              <w:rPr>
                <w:rFonts w:ascii="Century Gothic" w:hAnsi="Century Gothic" w:cstheme="minorHAnsi"/>
              </w:rPr>
            </w:pPr>
            <w:r w:rsidRPr="00C016DD">
              <w:rPr>
                <w:rFonts w:ascii="Century Gothic" w:hAnsi="Century Gothic" w:cstheme="minorHAnsi"/>
              </w:rPr>
              <w:t>Servicios generales</w:t>
            </w:r>
          </w:p>
        </w:tc>
        <w:tc>
          <w:tcPr>
            <w:tcW w:w="2017" w:type="dxa"/>
          </w:tcPr>
          <w:p w:rsidR="00DA60A1" w:rsidRPr="00C016DD" w:rsidRDefault="00DA60A1" w:rsidP="00596D34">
            <w:pPr>
              <w:tabs>
                <w:tab w:val="left" w:pos="426"/>
              </w:tabs>
              <w:jc w:val="right"/>
              <w:rPr>
                <w:rFonts w:ascii="Century Gothic" w:hAnsi="Century Gothic" w:cstheme="minorHAnsi"/>
              </w:rPr>
            </w:pPr>
            <w:r w:rsidRPr="00C016DD">
              <w:rPr>
                <w:rFonts w:ascii="Century Gothic" w:hAnsi="Century Gothic" w:cstheme="minorHAnsi"/>
              </w:rPr>
              <w:t xml:space="preserve">$ </w:t>
            </w:r>
            <w:r w:rsidR="00732229" w:rsidRPr="00C016DD">
              <w:rPr>
                <w:rFonts w:ascii="Century Gothic" w:hAnsi="Century Gothic" w:cstheme="minorHAnsi"/>
              </w:rPr>
              <w:t xml:space="preserve">  </w:t>
            </w:r>
            <w:r w:rsidR="00C016DD" w:rsidRPr="00C016DD">
              <w:rPr>
                <w:rFonts w:ascii="Century Gothic" w:hAnsi="Century Gothic" w:cstheme="minorHAnsi"/>
              </w:rPr>
              <w:t xml:space="preserve"> </w:t>
            </w:r>
            <w:r w:rsidR="006F430F">
              <w:rPr>
                <w:rFonts w:ascii="Century Gothic" w:hAnsi="Century Gothic" w:cstheme="minorHAnsi"/>
              </w:rPr>
              <w:t>1’8</w:t>
            </w:r>
            <w:r w:rsidR="00596D34">
              <w:rPr>
                <w:rFonts w:ascii="Century Gothic" w:hAnsi="Century Gothic" w:cstheme="minorHAnsi"/>
              </w:rPr>
              <w:t>68</w:t>
            </w:r>
            <w:r w:rsidR="006F430F">
              <w:rPr>
                <w:rFonts w:ascii="Century Gothic" w:hAnsi="Century Gothic" w:cstheme="minorHAnsi"/>
              </w:rPr>
              <w:t>,</w:t>
            </w:r>
            <w:r w:rsidR="00596D34">
              <w:rPr>
                <w:rFonts w:ascii="Century Gothic" w:hAnsi="Century Gothic" w:cstheme="minorHAnsi"/>
              </w:rPr>
              <w:t>998</w:t>
            </w:r>
            <w:r w:rsidR="006F430F">
              <w:rPr>
                <w:rFonts w:ascii="Century Gothic" w:hAnsi="Century Gothic" w:cstheme="minorHAnsi"/>
              </w:rPr>
              <w:t>.96</w:t>
            </w:r>
          </w:p>
        </w:tc>
      </w:tr>
      <w:tr w:rsidR="00DA60A1" w:rsidRPr="00C016DD" w:rsidTr="00D57B5B">
        <w:trPr>
          <w:jc w:val="center"/>
        </w:trPr>
        <w:tc>
          <w:tcPr>
            <w:tcW w:w="3953" w:type="dxa"/>
          </w:tcPr>
          <w:p w:rsidR="00DA60A1" w:rsidRPr="00C016DD" w:rsidRDefault="00DA60A1" w:rsidP="00EE7D97">
            <w:pPr>
              <w:tabs>
                <w:tab w:val="left" w:pos="426"/>
              </w:tabs>
              <w:jc w:val="both"/>
              <w:rPr>
                <w:rFonts w:ascii="Century Gothic" w:hAnsi="Century Gothic" w:cstheme="minorHAnsi"/>
              </w:rPr>
            </w:pPr>
            <w:r w:rsidRPr="00C016DD">
              <w:rPr>
                <w:rFonts w:ascii="Century Gothic" w:hAnsi="Century Gothic" w:cstheme="minorHAnsi"/>
              </w:rPr>
              <w:t>Depreciaciones y Amortizaciones</w:t>
            </w:r>
          </w:p>
        </w:tc>
        <w:tc>
          <w:tcPr>
            <w:tcW w:w="2017" w:type="dxa"/>
          </w:tcPr>
          <w:p w:rsidR="00DA60A1" w:rsidRPr="00C016DD" w:rsidRDefault="00F16E57" w:rsidP="00596D34">
            <w:pPr>
              <w:tabs>
                <w:tab w:val="left" w:pos="426"/>
              </w:tabs>
              <w:jc w:val="right"/>
              <w:rPr>
                <w:rFonts w:ascii="Century Gothic" w:hAnsi="Century Gothic" w:cstheme="minorHAnsi"/>
              </w:rPr>
            </w:pPr>
            <w:r>
              <w:rPr>
                <w:rFonts w:ascii="Century Gothic" w:hAnsi="Century Gothic" w:cstheme="minorHAnsi"/>
              </w:rPr>
              <w:t>1</w:t>
            </w:r>
            <w:r w:rsidR="00596D34">
              <w:rPr>
                <w:rFonts w:ascii="Century Gothic" w:hAnsi="Century Gothic" w:cstheme="minorHAnsi"/>
              </w:rPr>
              <w:t>5</w:t>
            </w:r>
            <w:r w:rsidR="006F430F">
              <w:rPr>
                <w:rFonts w:ascii="Century Gothic" w:hAnsi="Century Gothic" w:cstheme="minorHAnsi"/>
              </w:rPr>
              <w:t>,</w:t>
            </w:r>
            <w:r w:rsidR="00596D34">
              <w:rPr>
                <w:rFonts w:ascii="Century Gothic" w:hAnsi="Century Gothic" w:cstheme="minorHAnsi"/>
              </w:rPr>
              <w:t>203</w:t>
            </w:r>
            <w:r w:rsidR="006F430F">
              <w:rPr>
                <w:rFonts w:ascii="Century Gothic" w:hAnsi="Century Gothic" w:cstheme="minorHAnsi"/>
              </w:rPr>
              <w:t>.</w:t>
            </w:r>
            <w:r w:rsidR="00596D34">
              <w:rPr>
                <w:rFonts w:ascii="Century Gothic" w:hAnsi="Century Gothic" w:cstheme="minorHAnsi"/>
              </w:rPr>
              <w:t>60</w:t>
            </w:r>
          </w:p>
        </w:tc>
      </w:tr>
      <w:tr w:rsidR="00DA60A1" w:rsidRPr="00C016DD" w:rsidTr="00D57B5B">
        <w:trPr>
          <w:jc w:val="center"/>
        </w:trPr>
        <w:tc>
          <w:tcPr>
            <w:tcW w:w="3953" w:type="dxa"/>
          </w:tcPr>
          <w:p w:rsidR="00DA60A1" w:rsidRPr="00C016DD" w:rsidRDefault="00DA60A1" w:rsidP="00DA60A1">
            <w:pPr>
              <w:tabs>
                <w:tab w:val="left" w:pos="426"/>
              </w:tabs>
              <w:jc w:val="center"/>
              <w:rPr>
                <w:rFonts w:ascii="Century Gothic" w:hAnsi="Century Gothic"/>
                <w:b/>
              </w:rPr>
            </w:pPr>
            <w:r w:rsidRPr="00C016DD">
              <w:rPr>
                <w:rFonts w:ascii="Century Gothic" w:hAnsi="Century Gothic"/>
                <w:b/>
              </w:rPr>
              <w:t>Total</w:t>
            </w:r>
          </w:p>
        </w:tc>
        <w:tc>
          <w:tcPr>
            <w:tcW w:w="2017" w:type="dxa"/>
          </w:tcPr>
          <w:p w:rsidR="00DA60A1" w:rsidRPr="00C016DD" w:rsidRDefault="00DA60A1" w:rsidP="00165ECC">
            <w:pPr>
              <w:tabs>
                <w:tab w:val="left" w:pos="426"/>
              </w:tabs>
              <w:jc w:val="right"/>
              <w:rPr>
                <w:rFonts w:ascii="Century Gothic" w:hAnsi="Century Gothic" w:cstheme="minorHAnsi"/>
                <w:b/>
              </w:rPr>
            </w:pPr>
            <w:r w:rsidRPr="00C016DD">
              <w:rPr>
                <w:rFonts w:ascii="Century Gothic" w:hAnsi="Century Gothic" w:cstheme="minorHAnsi"/>
                <w:b/>
              </w:rPr>
              <w:t>$</w:t>
            </w:r>
            <w:r w:rsidR="00732229" w:rsidRPr="00C016DD">
              <w:rPr>
                <w:rFonts w:ascii="Century Gothic" w:hAnsi="Century Gothic" w:cstheme="minorHAnsi"/>
                <w:b/>
              </w:rPr>
              <w:t xml:space="preserve"> </w:t>
            </w:r>
            <w:r w:rsidR="00716A63" w:rsidRPr="00C016DD">
              <w:rPr>
                <w:rFonts w:ascii="Century Gothic" w:hAnsi="Century Gothic" w:cstheme="minorHAnsi"/>
                <w:b/>
              </w:rPr>
              <w:t xml:space="preserve">  </w:t>
            </w:r>
            <w:r w:rsidR="00656DDD">
              <w:rPr>
                <w:rFonts w:ascii="Century Gothic" w:hAnsi="Century Gothic" w:cstheme="minorHAnsi"/>
                <w:b/>
              </w:rPr>
              <w:t xml:space="preserve"> </w:t>
            </w:r>
            <w:r w:rsidR="006F430F">
              <w:rPr>
                <w:rFonts w:ascii="Century Gothic" w:hAnsi="Century Gothic" w:cstheme="minorHAnsi"/>
                <w:b/>
              </w:rPr>
              <w:t>1’8</w:t>
            </w:r>
            <w:r w:rsidR="00596D34">
              <w:rPr>
                <w:rFonts w:ascii="Century Gothic" w:hAnsi="Century Gothic" w:cstheme="minorHAnsi"/>
                <w:b/>
              </w:rPr>
              <w:t>84,202.56</w:t>
            </w:r>
          </w:p>
        </w:tc>
      </w:tr>
    </w:tbl>
    <w:p w:rsidR="00DA60A1" w:rsidRPr="00C016DD" w:rsidRDefault="00DA60A1" w:rsidP="00B9550D">
      <w:pPr>
        <w:tabs>
          <w:tab w:val="left" w:pos="426"/>
        </w:tabs>
        <w:jc w:val="both"/>
        <w:rPr>
          <w:rFonts w:ascii="Century Gothic" w:hAnsi="Century Gothic"/>
        </w:rPr>
      </w:pPr>
    </w:p>
    <w:p w:rsidR="00C87E1B" w:rsidRDefault="00C87E1B" w:rsidP="00B9550D">
      <w:pPr>
        <w:tabs>
          <w:tab w:val="left" w:pos="426"/>
        </w:tabs>
        <w:jc w:val="both"/>
        <w:rPr>
          <w:rFonts w:ascii="Century Gothic" w:hAnsi="Century Gothic"/>
        </w:rPr>
      </w:pPr>
    </w:p>
    <w:p w:rsidR="00990D1C" w:rsidRPr="00C016DD" w:rsidRDefault="00990D1C" w:rsidP="00B9550D">
      <w:pPr>
        <w:tabs>
          <w:tab w:val="left" w:pos="426"/>
        </w:tabs>
        <w:jc w:val="both"/>
        <w:rPr>
          <w:rFonts w:ascii="Century Gothic" w:hAnsi="Century Gothic"/>
        </w:rPr>
      </w:pPr>
    </w:p>
    <w:p w:rsidR="00DA60A1" w:rsidRDefault="00DA60A1" w:rsidP="00B9550D">
      <w:pPr>
        <w:tabs>
          <w:tab w:val="left" w:pos="426"/>
        </w:tabs>
        <w:jc w:val="both"/>
        <w:rPr>
          <w:rFonts w:ascii="Century Gothic" w:hAnsi="Century Gothic"/>
          <w:b/>
        </w:rPr>
      </w:pPr>
      <w:r w:rsidRPr="00C016DD">
        <w:rPr>
          <w:rFonts w:ascii="Century Gothic" w:hAnsi="Century Gothic"/>
          <w:b/>
        </w:rPr>
        <w:t>III</w:t>
      </w:r>
      <w:r w:rsidR="00F869B5" w:rsidRPr="00C016DD">
        <w:rPr>
          <w:rFonts w:ascii="Century Gothic" w:hAnsi="Century Gothic"/>
          <w:b/>
        </w:rPr>
        <w:t>.</w:t>
      </w:r>
      <w:r w:rsidR="00F869B5" w:rsidRPr="00C016DD">
        <w:rPr>
          <w:rFonts w:ascii="Century Gothic" w:hAnsi="Century Gothic"/>
          <w:b/>
        </w:rPr>
        <w:tab/>
      </w:r>
      <w:r w:rsidRPr="00C016DD">
        <w:rPr>
          <w:rFonts w:ascii="Century Gothic" w:hAnsi="Century Gothic"/>
          <w:b/>
        </w:rPr>
        <w:t>Notas al Estado de Variaciones en la Hacienda Pública</w:t>
      </w:r>
    </w:p>
    <w:p w:rsidR="00D03508" w:rsidRPr="00C016DD" w:rsidRDefault="00D03508" w:rsidP="00B9550D">
      <w:pPr>
        <w:tabs>
          <w:tab w:val="left" w:pos="426"/>
        </w:tabs>
        <w:jc w:val="both"/>
        <w:rPr>
          <w:rFonts w:ascii="Century Gothic" w:hAnsi="Century Gothic"/>
        </w:rPr>
      </w:pPr>
    </w:p>
    <w:p w:rsidR="00DA60A1" w:rsidRPr="00C016DD" w:rsidRDefault="00F869B5" w:rsidP="00F869B5">
      <w:pPr>
        <w:tabs>
          <w:tab w:val="left" w:pos="426"/>
        </w:tabs>
        <w:ind w:left="426"/>
        <w:jc w:val="both"/>
        <w:rPr>
          <w:rFonts w:ascii="Century Gothic" w:hAnsi="Century Gothic"/>
        </w:rPr>
      </w:pPr>
      <w:r w:rsidRPr="00C016DD">
        <w:rPr>
          <w:rFonts w:ascii="Century Gothic" w:hAnsi="Century Gothic"/>
        </w:rPr>
        <w:t xml:space="preserve">En el Estado de Variaciones en la Hacienda Pública/Patrimonio con fecha de corte al </w:t>
      </w:r>
      <w:r w:rsidR="00B1774F">
        <w:rPr>
          <w:rFonts w:ascii="Century Gothic" w:hAnsi="Century Gothic"/>
          <w:b/>
        </w:rPr>
        <w:t>3</w:t>
      </w:r>
      <w:r w:rsidR="00596D34">
        <w:rPr>
          <w:rFonts w:ascii="Century Gothic" w:hAnsi="Century Gothic"/>
          <w:b/>
        </w:rPr>
        <w:t>1</w:t>
      </w:r>
      <w:r w:rsidR="00900407" w:rsidRPr="00C016DD">
        <w:rPr>
          <w:rFonts w:ascii="Century Gothic" w:hAnsi="Century Gothic"/>
          <w:b/>
        </w:rPr>
        <w:t xml:space="preserve"> de </w:t>
      </w:r>
      <w:r w:rsidR="00596D34">
        <w:rPr>
          <w:rFonts w:ascii="Century Gothic" w:hAnsi="Century Gothic"/>
          <w:b/>
        </w:rPr>
        <w:t>dic</w:t>
      </w:r>
      <w:r w:rsidR="006B62DA">
        <w:rPr>
          <w:rFonts w:ascii="Century Gothic" w:hAnsi="Century Gothic"/>
          <w:b/>
        </w:rPr>
        <w:t>iembre</w:t>
      </w:r>
      <w:r w:rsidR="00900407" w:rsidRPr="00C016DD">
        <w:rPr>
          <w:rFonts w:ascii="Century Gothic" w:hAnsi="Century Gothic"/>
          <w:b/>
        </w:rPr>
        <w:t xml:space="preserve"> de </w:t>
      </w:r>
      <w:r w:rsidR="00312AA2" w:rsidRPr="00C016DD">
        <w:rPr>
          <w:rFonts w:ascii="Century Gothic" w:hAnsi="Century Gothic"/>
          <w:b/>
        </w:rPr>
        <w:t>202</w:t>
      </w:r>
      <w:r w:rsidR="00EE3678">
        <w:rPr>
          <w:rFonts w:ascii="Century Gothic" w:hAnsi="Century Gothic"/>
          <w:b/>
        </w:rPr>
        <w:t>1</w:t>
      </w:r>
      <w:r w:rsidRPr="00C016DD">
        <w:rPr>
          <w:rFonts w:ascii="Century Gothic" w:hAnsi="Century Gothic"/>
        </w:rPr>
        <w:t xml:space="preserve">, se informa de manera agrupada acerca de </w:t>
      </w:r>
      <w:r w:rsidRPr="00C016DD">
        <w:rPr>
          <w:rFonts w:ascii="Century Gothic" w:hAnsi="Century Gothic"/>
        </w:rPr>
        <w:lastRenderedPageBreak/>
        <w:t>las modificaciones al patrimonio contribuido, por tipo, naturaleza, así como el monto y procedencia de los recursos que modifican al patrimonio generado.</w:t>
      </w:r>
    </w:p>
    <w:p w:rsidR="00F869B5" w:rsidRPr="00C016DD" w:rsidRDefault="00F869B5" w:rsidP="00B9550D">
      <w:pPr>
        <w:tabs>
          <w:tab w:val="left" w:pos="426"/>
        </w:tabs>
        <w:jc w:val="both"/>
        <w:rPr>
          <w:rFonts w:ascii="Century Gothic" w:hAnsi="Century Gothic"/>
        </w:rPr>
      </w:pPr>
    </w:p>
    <w:p w:rsidR="00F869B5" w:rsidRPr="00C016DD" w:rsidRDefault="00F869B5" w:rsidP="00B9550D">
      <w:pPr>
        <w:tabs>
          <w:tab w:val="left" w:pos="426"/>
        </w:tabs>
        <w:jc w:val="both"/>
        <w:rPr>
          <w:rFonts w:ascii="Century Gothic" w:hAnsi="Century Gothic"/>
        </w:rPr>
      </w:pPr>
      <w:r w:rsidRPr="00C016DD">
        <w:rPr>
          <w:rFonts w:ascii="Century Gothic" w:hAnsi="Century Gothic"/>
          <w:b/>
        </w:rPr>
        <w:t>IV.</w:t>
      </w:r>
      <w:r w:rsidRPr="00C016DD">
        <w:rPr>
          <w:rFonts w:ascii="Century Gothic" w:hAnsi="Century Gothic"/>
          <w:b/>
        </w:rPr>
        <w:tab/>
        <w:t>Notas al Estado de Flujos de Efectivo</w:t>
      </w:r>
    </w:p>
    <w:p w:rsidR="00D03508" w:rsidRDefault="00D03508" w:rsidP="004D2009">
      <w:pPr>
        <w:tabs>
          <w:tab w:val="left" w:pos="426"/>
        </w:tabs>
        <w:ind w:left="426"/>
        <w:jc w:val="both"/>
        <w:rPr>
          <w:rFonts w:ascii="Century Gothic" w:hAnsi="Century Gothic"/>
        </w:rPr>
      </w:pPr>
    </w:p>
    <w:p w:rsidR="00F869B5" w:rsidRPr="00C016DD" w:rsidRDefault="00F869B5" w:rsidP="004D2009">
      <w:pPr>
        <w:tabs>
          <w:tab w:val="left" w:pos="426"/>
        </w:tabs>
        <w:ind w:left="426"/>
        <w:jc w:val="both"/>
        <w:rPr>
          <w:rFonts w:ascii="Century Gothic" w:hAnsi="Century Gothic"/>
        </w:rPr>
      </w:pPr>
      <w:r w:rsidRPr="00C016DD">
        <w:rPr>
          <w:rFonts w:ascii="Century Gothic" w:hAnsi="Century Gothic"/>
        </w:rPr>
        <w:t xml:space="preserve">El análisis de los saldos inicial y final que figuran en la última parte del Estado de Flujos de Efectivo, en la </w:t>
      </w:r>
      <w:r w:rsidR="004D2009" w:rsidRPr="00C016DD">
        <w:rPr>
          <w:rFonts w:ascii="Century Gothic" w:hAnsi="Century Gothic"/>
        </w:rPr>
        <w:t>cuenta de efectivo y equivalentes, es como sigue:</w:t>
      </w:r>
    </w:p>
    <w:p w:rsidR="00A47E99" w:rsidRPr="00C016DD" w:rsidRDefault="00A47E99" w:rsidP="004D2009">
      <w:pPr>
        <w:tabs>
          <w:tab w:val="left" w:pos="426"/>
        </w:tabs>
        <w:ind w:left="426"/>
        <w:jc w:val="both"/>
        <w:rPr>
          <w:rFonts w:ascii="Century Gothic" w:hAnsi="Century Gothic"/>
        </w:rPr>
      </w:pPr>
    </w:p>
    <w:tbl>
      <w:tblPr>
        <w:tblStyle w:val="Tablaconcuadrcula"/>
        <w:tblW w:w="0" w:type="auto"/>
        <w:jc w:val="center"/>
        <w:tblLook w:val="04A0" w:firstRow="1" w:lastRow="0" w:firstColumn="1" w:lastColumn="0" w:noHBand="0" w:noVBand="1"/>
      </w:tblPr>
      <w:tblGrid>
        <w:gridCol w:w="3652"/>
        <w:gridCol w:w="2126"/>
        <w:gridCol w:w="2127"/>
      </w:tblGrid>
      <w:tr w:rsidR="004D2009" w:rsidRPr="00C016DD" w:rsidTr="00E542BC">
        <w:trPr>
          <w:jc w:val="center"/>
        </w:trPr>
        <w:tc>
          <w:tcPr>
            <w:tcW w:w="3652" w:type="dxa"/>
            <w:shd w:val="clear" w:color="auto" w:fill="A6A6A6" w:themeFill="background1" w:themeFillShade="A6"/>
          </w:tcPr>
          <w:p w:rsidR="004D2009" w:rsidRPr="00E542BC" w:rsidRDefault="004D2009" w:rsidP="004D2009">
            <w:pPr>
              <w:tabs>
                <w:tab w:val="left" w:pos="426"/>
              </w:tabs>
              <w:jc w:val="center"/>
              <w:rPr>
                <w:rFonts w:ascii="Century Gothic" w:hAnsi="Century Gothic"/>
                <w:b/>
              </w:rPr>
            </w:pPr>
            <w:r w:rsidRPr="00E542BC">
              <w:rPr>
                <w:rFonts w:ascii="Century Gothic" w:hAnsi="Century Gothic"/>
                <w:b/>
              </w:rPr>
              <w:t>Concepto</w:t>
            </w:r>
          </w:p>
        </w:tc>
        <w:tc>
          <w:tcPr>
            <w:tcW w:w="2126" w:type="dxa"/>
            <w:shd w:val="clear" w:color="auto" w:fill="A6A6A6" w:themeFill="background1" w:themeFillShade="A6"/>
          </w:tcPr>
          <w:p w:rsidR="004D2009" w:rsidRPr="00E542BC" w:rsidRDefault="00312AA2" w:rsidP="00D252B7">
            <w:pPr>
              <w:tabs>
                <w:tab w:val="left" w:pos="426"/>
              </w:tabs>
              <w:jc w:val="center"/>
              <w:rPr>
                <w:rFonts w:ascii="Century Gothic" w:hAnsi="Century Gothic"/>
                <w:b/>
              </w:rPr>
            </w:pPr>
            <w:r w:rsidRPr="00E542BC">
              <w:rPr>
                <w:rFonts w:ascii="Century Gothic" w:hAnsi="Century Gothic"/>
                <w:b/>
              </w:rPr>
              <w:t>202</w:t>
            </w:r>
            <w:r w:rsidR="00D252B7" w:rsidRPr="00E542BC">
              <w:rPr>
                <w:rFonts w:ascii="Century Gothic" w:hAnsi="Century Gothic"/>
                <w:b/>
              </w:rPr>
              <w:t>1</w:t>
            </w:r>
          </w:p>
        </w:tc>
        <w:tc>
          <w:tcPr>
            <w:tcW w:w="2127" w:type="dxa"/>
            <w:shd w:val="clear" w:color="auto" w:fill="A6A6A6" w:themeFill="background1" w:themeFillShade="A6"/>
          </w:tcPr>
          <w:p w:rsidR="004D2009" w:rsidRPr="00E542BC" w:rsidRDefault="004D2009" w:rsidP="00D252B7">
            <w:pPr>
              <w:tabs>
                <w:tab w:val="left" w:pos="426"/>
              </w:tabs>
              <w:jc w:val="center"/>
              <w:rPr>
                <w:rFonts w:ascii="Century Gothic" w:hAnsi="Century Gothic"/>
                <w:b/>
              </w:rPr>
            </w:pPr>
            <w:r w:rsidRPr="00E542BC">
              <w:rPr>
                <w:rFonts w:ascii="Century Gothic" w:hAnsi="Century Gothic"/>
                <w:b/>
              </w:rPr>
              <w:t>20</w:t>
            </w:r>
            <w:r w:rsidR="00D252B7" w:rsidRPr="00E542BC">
              <w:rPr>
                <w:rFonts w:ascii="Century Gothic" w:hAnsi="Century Gothic"/>
                <w:b/>
              </w:rPr>
              <w:t>20</w:t>
            </w:r>
          </w:p>
        </w:tc>
      </w:tr>
      <w:tr w:rsidR="004D2009" w:rsidRPr="00C016DD" w:rsidTr="00D50A0D">
        <w:trPr>
          <w:jc w:val="center"/>
        </w:trPr>
        <w:tc>
          <w:tcPr>
            <w:tcW w:w="3652" w:type="dxa"/>
          </w:tcPr>
          <w:p w:rsidR="004D2009" w:rsidRPr="005862FB" w:rsidRDefault="004D2009" w:rsidP="00B9550D">
            <w:pPr>
              <w:tabs>
                <w:tab w:val="left" w:pos="426"/>
              </w:tabs>
              <w:jc w:val="both"/>
              <w:rPr>
                <w:rFonts w:ascii="Century Gothic" w:hAnsi="Century Gothic"/>
              </w:rPr>
            </w:pPr>
            <w:r w:rsidRPr="005862FB">
              <w:rPr>
                <w:rFonts w:ascii="Century Gothic" w:hAnsi="Century Gothic"/>
              </w:rPr>
              <w:t>Efectivo</w:t>
            </w:r>
          </w:p>
        </w:tc>
        <w:tc>
          <w:tcPr>
            <w:tcW w:w="2126" w:type="dxa"/>
          </w:tcPr>
          <w:p w:rsidR="004D2009" w:rsidRPr="005862FB" w:rsidRDefault="004D2009" w:rsidP="00167C6B">
            <w:pPr>
              <w:tabs>
                <w:tab w:val="left" w:pos="426"/>
              </w:tabs>
              <w:jc w:val="right"/>
              <w:rPr>
                <w:rFonts w:ascii="Century Gothic" w:hAnsi="Century Gothic"/>
              </w:rPr>
            </w:pPr>
            <w:r w:rsidRPr="005862FB">
              <w:rPr>
                <w:rFonts w:ascii="Century Gothic" w:hAnsi="Century Gothic"/>
              </w:rPr>
              <w:t>$</w:t>
            </w:r>
            <w:r w:rsidR="005862FB">
              <w:rPr>
                <w:rFonts w:ascii="Century Gothic" w:hAnsi="Century Gothic"/>
              </w:rPr>
              <w:t xml:space="preserve"> </w:t>
            </w:r>
            <w:r w:rsidRPr="005862FB">
              <w:rPr>
                <w:rFonts w:ascii="Century Gothic" w:hAnsi="Century Gothic"/>
              </w:rPr>
              <w:t xml:space="preserve"> </w:t>
            </w:r>
            <w:r w:rsidR="00C93B96" w:rsidRPr="005862FB">
              <w:rPr>
                <w:rFonts w:ascii="Century Gothic" w:hAnsi="Century Gothic"/>
              </w:rPr>
              <w:t xml:space="preserve">  </w:t>
            </w:r>
            <w:r w:rsidR="00167C6B" w:rsidRPr="005862FB">
              <w:rPr>
                <w:rFonts w:ascii="Century Gothic" w:hAnsi="Century Gothic"/>
              </w:rPr>
              <w:t xml:space="preserve">       </w:t>
            </w:r>
            <w:r w:rsidR="0069341D" w:rsidRPr="005862FB">
              <w:rPr>
                <w:rFonts w:ascii="Century Gothic" w:hAnsi="Century Gothic"/>
              </w:rPr>
              <w:t xml:space="preserve">     </w:t>
            </w:r>
            <w:r w:rsidR="00167C6B" w:rsidRPr="005862FB">
              <w:rPr>
                <w:rFonts w:ascii="Century Gothic" w:hAnsi="Century Gothic"/>
              </w:rPr>
              <w:t>0.0</w:t>
            </w:r>
            <w:r w:rsidRPr="005862FB">
              <w:rPr>
                <w:rFonts w:ascii="Century Gothic" w:hAnsi="Century Gothic"/>
              </w:rPr>
              <w:t>0</w:t>
            </w:r>
          </w:p>
        </w:tc>
        <w:tc>
          <w:tcPr>
            <w:tcW w:w="2127" w:type="dxa"/>
          </w:tcPr>
          <w:p w:rsidR="004D2009" w:rsidRPr="005862FB" w:rsidRDefault="004D2009" w:rsidP="005862FB">
            <w:pPr>
              <w:tabs>
                <w:tab w:val="left" w:pos="426"/>
              </w:tabs>
              <w:jc w:val="right"/>
              <w:rPr>
                <w:rFonts w:ascii="Century Gothic" w:hAnsi="Century Gothic"/>
              </w:rPr>
            </w:pPr>
            <w:r w:rsidRPr="005862FB">
              <w:rPr>
                <w:rFonts w:ascii="Century Gothic" w:hAnsi="Century Gothic"/>
              </w:rPr>
              <w:t>$</w:t>
            </w:r>
            <w:r w:rsidR="0069341D" w:rsidRPr="005862FB">
              <w:rPr>
                <w:rFonts w:ascii="Century Gothic" w:hAnsi="Century Gothic"/>
              </w:rPr>
              <w:t xml:space="preserve">  </w:t>
            </w:r>
            <w:r w:rsidR="005862FB" w:rsidRPr="005862FB">
              <w:rPr>
                <w:rFonts w:ascii="Century Gothic" w:hAnsi="Century Gothic"/>
              </w:rPr>
              <w:t xml:space="preserve"> </w:t>
            </w:r>
            <w:r w:rsidR="005862FB">
              <w:rPr>
                <w:rFonts w:ascii="Century Gothic" w:hAnsi="Century Gothic"/>
              </w:rPr>
              <w:t xml:space="preserve">  </w:t>
            </w:r>
            <w:r w:rsidR="005862FB" w:rsidRPr="005862FB">
              <w:rPr>
                <w:rFonts w:ascii="Century Gothic" w:hAnsi="Century Gothic"/>
              </w:rPr>
              <w:t xml:space="preserve">      </w:t>
            </w:r>
            <w:r w:rsidR="002F33E4" w:rsidRPr="005862FB">
              <w:rPr>
                <w:rFonts w:ascii="Century Gothic" w:hAnsi="Century Gothic"/>
              </w:rPr>
              <w:t xml:space="preserve"> </w:t>
            </w:r>
            <w:r w:rsidR="0069341D" w:rsidRPr="005862FB">
              <w:rPr>
                <w:rFonts w:ascii="Century Gothic" w:hAnsi="Century Gothic"/>
              </w:rPr>
              <w:t xml:space="preserve">   </w:t>
            </w:r>
            <w:r w:rsidRPr="005862FB">
              <w:rPr>
                <w:rFonts w:ascii="Century Gothic" w:hAnsi="Century Gothic"/>
              </w:rPr>
              <w:t xml:space="preserve"> </w:t>
            </w:r>
            <w:r w:rsidR="005862FB" w:rsidRPr="005862FB">
              <w:rPr>
                <w:rFonts w:ascii="Century Gothic" w:hAnsi="Century Gothic"/>
              </w:rPr>
              <w:t>0.00</w:t>
            </w:r>
          </w:p>
        </w:tc>
      </w:tr>
      <w:tr w:rsidR="005862FB" w:rsidRPr="00C016DD" w:rsidTr="00D50A0D">
        <w:trPr>
          <w:jc w:val="center"/>
        </w:trPr>
        <w:tc>
          <w:tcPr>
            <w:tcW w:w="3652" w:type="dxa"/>
          </w:tcPr>
          <w:p w:rsidR="005862FB" w:rsidRPr="005862FB" w:rsidRDefault="005862FB" w:rsidP="00B9550D">
            <w:pPr>
              <w:tabs>
                <w:tab w:val="left" w:pos="426"/>
              </w:tabs>
              <w:jc w:val="both"/>
              <w:rPr>
                <w:rFonts w:ascii="Century Gothic" w:hAnsi="Century Gothic"/>
              </w:rPr>
            </w:pPr>
            <w:r w:rsidRPr="005862FB">
              <w:rPr>
                <w:rFonts w:ascii="Century Gothic" w:hAnsi="Century Gothic"/>
              </w:rPr>
              <w:t>Efectivo en Bancos/Tesorería</w:t>
            </w:r>
          </w:p>
        </w:tc>
        <w:tc>
          <w:tcPr>
            <w:tcW w:w="2126" w:type="dxa"/>
          </w:tcPr>
          <w:p w:rsidR="005862FB" w:rsidRPr="005862FB" w:rsidRDefault="00100BF8" w:rsidP="00596D34">
            <w:pPr>
              <w:tabs>
                <w:tab w:val="left" w:pos="426"/>
              </w:tabs>
              <w:jc w:val="right"/>
              <w:rPr>
                <w:rFonts w:ascii="Century Gothic" w:hAnsi="Century Gothic"/>
              </w:rPr>
            </w:pPr>
            <w:r>
              <w:rPr>
                <w:rFonts w:ascii="Century Gothic" w:hAnsi="Century Gothic"/>
              </w:rPr>
              <w:t>3’</w:t>
            </w:r>
            <w:r w:rsidR="003E33EE">
              <w:rPr>
                <w:rFonts w:ascii="Century Gothic" w:hAnsi="Century Gothic"/>
              </w:rPr>
              <w:t>1</w:t>
            </w:r>
            <w:r w:rsidR="00596D34">
              <w:rPr>
                <w:rFonts w:ascii="Century Gothic" w:hAnsi="Century Gothic"/>
              </w:rPr>
              <w:t>86</w:t>
            </w:r>
            <w:r>
              <w:rPr>
                <w:rFonts w:ascii="Century Gothic" w:hAnsi="Century Gothic"/>
              </w:rPr>
              <w:t>,</w:t>
            </w:r>
            <w:r w:rsidR="00596D34">
              <w:rPr>
                <w:rFonts w:ascii="Century Gothic" w:hAnsi="Century Gothic"/>
              </w:rPr>
              <w:t>678</w:t>
            </w:r>
            <w:r>
              <w:rPr>
                <w:rFonts w:ascii="Century Gothic" w:hAnsi="Century Gothic"/>
              </w:rPr>
              <w:t>.</w:t>
            </w:r>
            <w:r w:rsidR="00596D34">
              <w:rPr>
                <w:rFonts w:ascii="Century Gothic" w:hAnsi="Century Gothic"/>
              </w:rPr>
              <w:t>09</w:t>
            </w:r>
          </w:p>
        </w:tc>
        <w:tc>
          <w:tcPr>
            <w:tcW w:w="2127" w:type="dxa"/>
          </w:tcPr>
          <w:p w:rsidR="005862FB" w:rsidRPr="005862FB" w:rsidRDefault="00EE3678" w:rsidP="005862FB">
            <w:pPr>
              <w:jc w:val="right"/>
              <w:rPr>
                <w:rFonts w:ascii="Century Gothic" w:hAnsi="Century Gothic"/>
              </w:rPr>
            </w:pPr>
            <w:r w:rsidRPr="00EE3678">
              <w:rPr>
                <w:rFonts w:ascii="Century Gothic" w:hAnsi="Century Gothic"/>
              </w:rPr>
              <w:t>4’453,059.37</w:t>
            </w:r>
          </w:p>
        </w:tc>
      </w:tr>
      <w:tr w:rsidR="005862FB" w:rsidRPr="00C016DD" w:rsidTr="00D50A0D">
        <w:trPr>
          <w:jc w:val="center"/>
        </w:trPr>
        <w:tc>
          <w:tcPr>
            <w:tcW w:w="3652" w:type="dxa"/>
          </w:tcPr>
          <w:p w:rsidR="005862FB" w:rsidRPr="005862FB" w:rsidRDefault="005862FB" w:rsidP="00B9550D">
            <w:pPr>
              <w:tabs>
                <w:tab w:val="left" w:pos="426"/>
              </w:tabs>
              <w:jc w:val="both"/>
              <w:rPr>
                <w:rFonts w:ascii="Century Gothic" w:hAnsi="Century Gothic"/>
                <w:b/>
              </w:rPr>
            </w:pPr>
            <w:r w:rsidRPr="005862FB">
              <w:rPr>
                <w:rFonts w:ascii="Century Gothic" w:hAnsi="Century Gothic"/>
                <w:b/>
              </w:rPr>
              <w:t>Total Efectivo y Equivalente</w:t>
            </w:r>
          </w:p>
        </w:tc>
        <w:tc>
          <w:tcPr>
            <w:tcW w:w="2126" w:type="dxa"/>
          </w:tcPr>
          <w:p w:rsidR="005862FB" w:rsidRPr="005862FB" w:rsidRDefault="005862FB" w:rsidP="006B62DA">
            <w:pPr>
              <w:tabs>
                <w:tab w:val="left" w:pos="426"/>
              </w:tabs>
              <w:jc w:val="right"/>
              <w:rPr>
                <w:rFonts w:ascii="Century Gothic" w:hAnsi="Century Gothic"/>
                <w:b/>
              </w:rPr>
            </w:pPr>
            <w:r w:rsidRPr="005862FB">
              <w:rPr>
                <w:rFonts w:ascii="Century Gothic" w:hAnsi="Century Gothic"/>
                <w:b/>
              </w:rPr>
              <w:t>$</w:t>
            </w:r>
            <w:r>
              <w:rPr>
                <w:rFonts w:ascii="Century Gothic" w:hAnsi="Century Gothic"/>
                <w:b/>
              </w:rPr>
              <w:t xml:space="preserve"> </w:t>
            </w:r>
            <w:r w:rsidRPr="005862FB">
              <w:rPr>
                <w:rFonts w:ascii="Century Gothic" w:hAnsi="Century Gothic"/>
                <w:b/>
              </w:rPr>
              <w:t xml:space="preserve"> </w:t>
            </w:r>
            <w:r w:rsidR="00100BF8" w:rsidRPr="00100BF8">
              <w:rPr>
                <w:rFonts w:ascii="Century Gothic" w:hAnsi="Century Gothic"/>
                <w:b/>
              </w:rPr>
              <w:t>3’</w:t>
            </w:r>
            <w:r w:rsidR="00596D34">
              <w:rPr>
                <w:rFonts w:ascii="Century Gothic" w:hAnsi="Century Gothic"/>
                <w:b/>
              </w:rPr>
              <w:t>186,678.09</w:t>
            </w:r>
          </w:p>
        </w:tc>
        <w:tc>
          <w:tcPr>
            <w:tcW w:w="2127" w:type="dxa"/>
          </w:tcPr>
          <w:p w:rsidR="005862FB" w:rsidRPr="005862FB" w:rsidRDefault="005862FB" w:rsidP="005862FB">
            <w:pPr>
              <w:jc w:val="right"/>
              <w:rPr>
                <w:rFonts w:ascii="Century Gothic" w:hAnsi="Century Gothic"/>
                <w:b/>
              </w:rPr>
            </w:pPr>
            <w:r w:rsidRPr="005862FB">
              <w:rPr>
                <w:rFonts w:ascii="Century Gothic" w:hAnsi="Century Gothic"/>
                <w:b/>
              </w:rPr>
              <w:t xml:space="preserve">$  </w:t>
            </w:r>
            <w:r w:rsidR="00EE3678" w:rsidRPr="00EE3678">
              <w:rPr>
                <w:rFonts w:ascii="Century Gothic" w:hAnsi="Century Gothic"/>
                <w:b/>
              </w:rPr>
              <w:t>4’453,059.37</w:t>
            </w:r>
          </w:p>
        </w:tc>
      </w:tr>
    </w:tbl>
    <w:p w:rsidR="004D2009" w:rsidRPr="00C016DD" w:rsidRDefault="004D2009" w:rsidP="00B9550D">
      <w:pPr>
        <w:tabs>
          <w:tab w:val="left" w:pos="426"/>
        </w:tabs>
        <w:jc w:val="both"/>
        <w:rPr>
          <w:rFonts w:ascii="Century Gothic" w:hAnsi="Century Gothic"/>
        </w:rPr>
      </w:pPr>
    </w:p>
    <w:p w:rsidR="0069341D" w:rsidRPr="00C016DD" w:rsidRDefault="00EF64B9" w:rsidP="00EF64B9">
      <w:pPr>
        <w:tabs>
          <w:tab w:val="left" w:pos="426"/>
        </w:tabs>
        <w:ind w:left="426"/>
        <w:jc w:val="both"/>
        <w:rPr>
          <w:rFonts w:ascii="Century Gothic" w:hAnsi="Century Gothic"/>
        </w:rPr>
      </w:pPr>
      <w:r w:rsidRPr="00C016DD">
        <w:rPr>
          <w:rFonts w:ascii="Century Gothic" w:hAnsi="Century Gothic"/>
        </w:rPr>
        <w:t>Como resultado del análisis anterior se tiene un</w:t>
      </w:r>
      <w:r w:rsidR="00E76282">
        <w:rPr>
          <w:rFonts w:ascii="Century Gothic" w:hAnsi="Century Gothic"/>
        </w:rPr>
        <w:t>a</w:t>
      </w:r>
      <w:r w:rsidRPr="00C016DD">
        <w:rPr>
          <w:rFonts w:ascii="Century Gothic" w:hAnsi="Century Gothic"/>
        </w:rPr>
        <w:t xml:space="preserve"> </w:t>
      </w:r>
      <w:r w:rsidR="00E76282">
        <w:rPr>
          <w:rFonts w:ascii="Century Gothic" w:hAnsi="Century Gothic"/>
        </w:rPr>
        <w:t>disminución</w:t>
      </w:r>
      <w:r w:rsidRPr="00C016DD">
        <w:rPr>
          <w:rFonts w:ascii="Century Gothic" w:hAnsi="Century Gothic"/>
        </w:rPr>
        <w:t xml:space="preserve"> net</w:t>
      </w:r>
      <w:r w:rsidR="00E76282">
        <w:rPr>
          <w:rFonts w:ascii="Century Gothic" w:hAnsi="Century Gothic"/>
        </w:rPr>
        <w:t>a</w:t>
      </w:r>
      <w:r w:rsidRPr="00C016DD">
        <w:rPr>
          <w:rFonts w:ascii="Century Gothic" w:hAnsi="Century Gothic"/>
        </w:rPr>
        <w:t xml:space="preserve"> en el Efectivo y Equivalentes</w:t>
      </w:r>
      <w:r w:rsidR="001C120A">
        <w:rPr>
          <w:rFonts w:ascii="Century Gothic" w:hAnsi="Century Gothic"/>
        </w:rPr>
        <w:t xml:space="preserve"> por un importe</w:t>
      </w:r>
      <w:r w:rsidRPr="00C016DD">
        <w:rPr>
          <w:rFonts w:ascii="Century Gothic" w:hAnsi="Century Gothic"/>
        </w:rPr>
        <w:t xml:space="preserve"> de $</w:t>
      </w:r>
      <w:r w:rsidR="007A3389" w:rsidRPr="00C016DD">
        <w:rPr>
          <w:rFonts w:ascii="Century Gothic" w:hAnsi="Century Gothic"/>
        </w:rPr>
        <w:t xml:space="preserve"> </w:t>
      </w:r>
      <w:r w:rsidR="007C75A8">
        <w:rPr>
          <w:rFonts w:ascii="Century Gothic" w:hAnsi="Century Gothic"/>
        </w:rPr>
        <w:t xml:space="preserve"> </w:t>
      </w:r>
      <w:r w:rsidR="003E33EE">
        <w:rPr>
          <w:rFonts w:ascii="Century Gothic" w:hAnsi="Century Gothic"/>
        </w:rPr>
        <w:t>1’2</w:t>
      </w:r>
      <w:r w:rsidR="00E64298">
        <w:rPr>
          <w:rFonts w:ascii="Century Gothic" w:hAnsi="Century Gothic"/>
        </w:rPr>
        <w:t>66</w:t>
      </w:r>
      <w:r w:rsidR="00100BF8">
        <w:rPr>
          <w:rFonts w:ascii="Century Gothic" w:hAnsi="Century Gothic"/>
        </w:rPr>
        <w:t>,</w:t>
      </w:r>
      <w:r w:rsidR="00E64298">
        <w:rPr>
          <w:rFonts w:ascii="Century Gothic" w:hAnsi="Century Gothic"/>
        </w:rPr>
        <w:t>381</w:t>
      </w:r>
      <w:r w:rsidR="00100BF8">
        <w:rPr>
          <w:rFonts w:ascii="Century Gothic" w:hAnsi="Century Gothic"/>
        </w:rPr>
        <w:t>.</w:t>
      </w:r>
      <w:r w:rsidR="00E64298">
        <w:rPr>
          <w:rFonts w:ascii="Century Gothic" w:hAnsi="Century Gothic"/>
        </w:rPr>
        <w:t>28</w:t>
      </w:r>
      <w:r w:rsidR="002E689B" w:rsidRPr="002E689B">
        <w:rPr>
          <w:rFonts w:ascii="Century Gothic" w:hAnsi="Century Gothic"/>
        </w:rPr>
        <w:t xml:space="preserve"> </w:t>
      </w:r>
      <w:r w:rsidRPr="00C016DD">
        <w:rPr>
          <w:rFonts w:ascii="Century Gothic" w:hAnsi="Century Gothic"/>
        </w:rPr>
        <w:t xml:space="preserve"> (</w:t>
      </w:r>
      <w:r w:rsidR="006C62D0">
        <w:rPr>
          <w:rFonts w:ascii="Century Gothic" w:hAnsi="Century Gothic"/>
        </w:rPr>
        <w:t xml:space="preserve">Un millón </w:t>
      </w:r>
      <w:r w:rsidR="006B62DA">
        <w:rPr>
          <w:rFonts w:ascii="Century Gothic" w:hAnsi="Century Gothic"/>
        </w:rPr>
        <w:t xml:space="preserve">doscientos sesenta </w:t>
      </w:r>
      <w:r w:rsidR="00E64298">
        <w:rPr>
          <w:rFonts w:ascii="Century Gothic" w:hAnsi="Century Gothic"/>
        </w:rPr>
        <w:t xml:space="preserve">y seis </w:t>
      </w:r>
      <w:r w:rsidR="001C120A">
        <w:rPr>
          <w:rFonts w:ascii="Century Gothic" w:hAnsi="Century Gothic"/>
        </w:rPr>
        <w:t xml:space="preserve">mil </w:t>
      </w:r>
      <w:r w:rsidR="00E64298">
        <w:rPr>
          <w:rFonts w:ascii="Century Gothic" w:hAnsi="Century Gothic"/>
        </w:rPr>
        <w:t>trescientos ochenta y uno</w:t>
      </w:r>
      <w:r w:rsidR="00F624B6">
        <w:rPr>
          <w:rFonts w:ascii="Century Gothic" w:hAnsi="Century Gothic"/>
        </w:rPr>
        <w:t xml:space="preserve"> </w:t>
      </w:r>
      <w:r w:rsidRPr="00C016DD">
        <w:rPr>
          <w:rFonts w:ascii="Century Gothic" w:hAnsi="Century Gothic"/>
        </w:rPr>
        <w:t xml:space="preserve">pesos </w:t>
      </w:r>
      <w:r w:rsidR="00E64298">
        <w:rPr>
          <w:rFonts w:ascii="Century Gothic" w:hAnsi="Century Gothic"/>
        </w:rPr>
        <w:t>28</w:t>
      </w:r>
      <w:r w:rsidRPr="00C016DD">
        <w:rPr>
          <w:rFonts w:ascii="Century Gothic" w:hAnsi="Century Gothic"/>
        </w:rPr>
        <w:t>/100 M.N.)</w:t>
      </w:r>
      <w:r w:rsidR="002B1503" w:rsidRPr="00C016DD">
        <w:rPr>
          <w:rFonts w:ascii="Century Gothic" w:hAnsi="Century Gothic"/>
        </w:rPr>
        <w:t>, de</w:t>
      </w:r>
      <w:r w:rsidR="001C120A">
        <w:rPr>
          <w:rFonts w:ascii="Century Gothic" w:hAnsi="Century Gothic"/>
        </w:rPr>
        <w:t xml:space="preserve">bido  a que </w:t>
      </w:r>
      <w:r w:rsidR="0010395C">
        <w:rPr>
          <w:rFonts w:ascii="Century Gothic" w:hAnsi="Century Gothic"/>
        </w:rPr>
        <w:t xml:space="preserve">los </w:t>
      </w:r>
      <w:r w:rsidR="00E76282">
        <w:rPr>
          <w:rFonts w:ascii="Century Gothic" w:hAnsi="Century Gothic"/>
        </w:rPr>
        <w:t xml:space="preserve">gastos son mayores que los </w:t>
      </w:r>
      <w:r w:rsidR="0010395C">
        <w:rPr>
          <w:rFonts w:ascii="Century Gothic" w:hAnsi="Century Gothic"/>
        </w:rPr>
        <w:t xml:space="preserve">ingresos por intereses ganados </w:t>
      </w:r>
      <w:r w:rsidR="006C62D0">
        <w:rPr>
          <w:rFonts w:ascii="Century Gothic" w:hAnsi="Century Gothic"/>
        </w:rPr>
        <w:t>a</w:t>
      </w:r>
      <w:r w:rsidR="005A46E4">
        <w:rPr>
          <w:rFonts w:ascii="Century Gothic" w:hAnsi="Century Gothic"/>
        </w:rPr>
        <w:t xml:space="preserve">l </w:t>
      </w:r>
      <w:r w:rsidR="0010395C">
        <w:rPr>
          <w:rFonts w:ascii="Century Gothic" w:hAnsi="Century Gothic"/>
        </w:rPr>
        <w:t xml:space="preserve">mes de </w:t>
      </w:r>
      <w:r w:rsidR="00E64298">
        <w:rPr>
          <w:rFonts w:ascii="Century Gothic" w:hAnsi="Century Gothic"/>
          <w:b/>
        </w:rPr>
        <w:t>diciembre</w:t>
      </w:r>
      <w:r w:rsidR="0010395C">
        <w:rPr>
          <w:rFonts w:ascii="Century Gothic" w:hAnsi="Century Gothic"/>
        </w:rPr>
        <w:t xml:space="preserve"> de 202</w:t>
      </w:r>
      <w:r w:rsidR="00B8658D">
        <w:rPr>
          <w:rFonts w:ascii="Century Gothic" w:hAnsi="Century Gothic"/>
        </w:rPr>
        <w:t>1,</w:t>
      </w:r>
      <w:r w:rsidR="0010395C">
        <w:rPr>
          <w:rFonts w:ascii="Century Gothic" w:hAnsi="Century Gothic"/>
        </w:rPr>
        <w:t xml:space="preserve"> y</w:t>
      </w:r>
      <w:r w:rsidR="00B8658D">
        <w:rPr>
          <w:rFonts w:ascii="Century Gothic" w:hAnsi="Century Gothic"/>
        </w:rPr>
        <w:t xml:space="preserve"> </w:t>
      </w:r>
      <w:r w:rsidR="001C120A">
        <w:rPr>
          <w:rFonts w:ascii="Century Gothic" w:hAnsi="Century Gothic"/>
        </w:rPr>
        <w:t>a</w:t>
      </w:r>
      <w:r w:rsidR="0010395C">
        <w:rPr>
          <w:rFonts w:ascii="Century Gothic" w:hAnsi="Century Gothic"/>
        </w:rPr>
        <w:t xml:space="preserve"> que no se cuenta </w:t>
      </w:r>
      <w:r w:rsidR="00D57B5B" w:rsidRPr="00C016DD">
        <w:rPr>
          <w:rFonts w:ascii="Century Gothic" w:hAnsi="Century Gothic"/>
        </w:rPr>
        <w:t>con aportaciones de los Fideicomitentes y Fideicomisarios en primer y segundo lugar,</w:t>
      </w:r>
      <w:r w:rsidR="002B1503" w:rsidRPr="00C016DD">
        <w:rPr>
          <w:rFonts w:ascii="Century Gothic" w:hAnsi="Century Gothic"/>
        </w:rPr>
        <w:t xml:space="preserve"> del Fideicomiso Teatro Mariano Matamoros</w:t>
      </w:r>
      <w:r w:rsidRPr="00C016DD">
        <w:rPr>
          <w:rFonts w:ascii="Century Gothic" w:hAnsi="Century Gothic"/>
        </w:rPr>
        <w:t>.</w:t>
      </w:r>
    </w:p>
    <w:p w:rsidR="00EF64B9" w:rsidRPr="00C016DD" w:rsidRDefault="00EF64B9" w:rsidP="00EF64B9">
      <w:pPr>
        <w:tabs>
          <w:tab w:val="left" w:pos="426"/>
        </w:tabs>
        <w:jc w:val="both"/>
        <w:rPr>
          <w:rFonts w:ascii="Century Gothic" w:hAnsi="Century Gothic"/>
        </w:rPr>
      </w:pPr>
    </w:p>
    <w:p w:rsidR="00EF64B9" w:rsidRPr="00C016DD" w:rsidRDefault="00EF64B9" w:rsidP="00EF64B9">
      <w:pPr>
        <w:tabs>
          <w:tab w:val="left" w:pos="426"/>
        </w:tabs>
        <w:ind w:left="420" w:hanging="420"/>
        <w:jc w:val="both"/>
        <w:rPr>
          <w:rFonts w:ascii="Century Gothic" w:hAnsi="Century Gothic"/>
          <w:b/>
        </w:rPr>
      </w:pPr>
      <w:r w:rsidRPr="00C016DD">
        <w:rPr>
          <w:rFonts w:ascii="Century Gothic" w:hAnsi="Century Gothic"/>
          <w:b/>
        </w:rPr>
        <w:t>V.</w:t>
      </w:r>
      <w:r w:rsidRPr="00C016DD">
        <w:rPr>
          <w:rFonts w:ascii="Century Gothic" w:hAnsi="Century Gothic"/>
          <w:b/>
        </w:rPr>
        <w:tab/>
        <w:t>Conciliación entre los Ingresos Presupuestarios y Contables, así como entre los Egresos Presupuestarios y los Gastos Contables</w:t>
      </w:r>
      <w:r w:rsidR="00A47E99" w:rsidRPr="00C016DD">
        <w:rPr>
          <w:rFonts w:ascii="Century Gothic" w:hAnsi="Century Gothic"/>
          <w:b/>
        </w:rPr>
        <w:t>.</w:t>
      </w:r>
    </w:p>
    <w:p w:rsidR="00D03508" w:rsidRPr="00C016DD" w:rsidRDefault="00D03508" w:rsidP="00EF64B9">
      <w:pPr>
        <w:tabs>
          <w:tab w:val="left" w:pos="426"/>
        </w:tabs>
        <w:ind w:left="420" w:hanging="420"/>
        <w:jc w:val="both"/>
        <w:rPr>
          <w:rFonts w:ascii="Century Gothic" w:hAnsi="Century Gothic"/>
          <w:b/>
        </w:rPr>
      </w:pPr>
    </w:p>
    <w:p w:rsidR="00EF64B9" w:rsidRPr="00C016DD" w:rsidRDefault="00EF64B9" w:rsidP="00EF64B9">
      <w:pPr>
        <w:tabs>
          <w:tab w:val="left" w:pos="426"/>
        </w:tabs>
        <w:ind w:left="420" w:hanging="420"/>
        <w:jc w:val="both"/>
        <w:rPr>
          <w:rFonts w:ascii="Century Gothic" w:hAnsi="Century Gothic"/>
        </w:rPr>
      </w:pPr>
      <w:r w:rsidRPr="00C016DD">
        <w:rPr>
          <w:rFonts w:ascii="Century Gothic" w:hAnsi="Century Gothic"/>
          <w:b/>
        </w:rPr>
        <w:tab/>
        <w:t>Estado Analítico de Ingresos Presupuestales</w:t>
      </w:r>
      <w:r w:rsidR="00A47E99" w:rsidRPr="00C016DD">
        <w:rPr>
          <w:rFonts w:ascii="Century Gothic" w:hAnsi="Century Gothic"/>
          <w:b/>
        </w:rPr>
        <w:t>.</w:t>
      </w:r>
    </w:p>
    <w:p w:rsidR="006B064F" w:rsidRDefault="00EF64B9" w:rsidP="00EF64B9">
      <w:pPr>
        <w:tabs>
          <w:tab w:val="left" w:pos="426"/>
        </w:tabs>
        <w:ind w:left="420" w:hanging="420"/>
        <w:jc w:val="both"/>
        <w:rPr>
          <w:rFonts w:ascii="Century Gothic" w:hAnsi="Century Gothic"/>
        </w:rPr>
      </w:pPr>
      <w:r w:rsidRPr="00C016DD">
        <w:rPr>
          <w:rFonts w:ascii="Century Gothic" w:hAnsi="Century Gothic"/>
        </w:rPr>
        <w:tab/>
      </w:r>
      <w:r w:rsidR="00167C6B" w:rsidRPr="00C016DD">
        <w:rPr>
          <w:rFonts w:ascii="Century Gothic" w:hAnsi="Century Gothic"/>
        </w:rPr>
        <w:t>En este</w:t>
      </w:r>
      <w:r w:rsidR="00D60DA1" w:rsidRPr="00C016DD">
        <w:rPr>
          <w:rFonts w:ascii="Century Gothic" w:hAnsi="Century Gothic"/>
        </w:rPr>
        <w:t xml:space="preserve"> </w:t>
      </w:r>
      <w:r w:rsidR="006B064F" w:rsidRPr="00C016DD">
        <w:rPr>
          <w:rFonts w:ascii="Century Gothic" w:hAnsi="Century Gothic"/>
        </w:rPr>
        <w:t xml:space="preserve">estado se </w:t>
      </w:r>
      <w:r w:rsidR="00D60DA1" w:rsidRPr="00C016DD">
        <w:rPr>
          <w:rFonts w:ascii="Century Gothic" w:hAnsi="Century Gothic"/>
        </w:rPr>
        <w:t>inform</w:t>
      </w:r>
      <w:r w:rsidR="006B064F" w:rsidRPr="00C016DD">
        <w:rPr>
          <w:rFonts w:ascii="Century Gothic" w:hAnsi="Century Gothic"/>
        </w:rPr>
        <w:t>a</w:t>
      </w:r>
      <w:r w:rsidR="00D60DA1" w:rsidRPr="00C016DD">
        <w:rPr>
          <w:rFonts w:ascii="Century Gothic" w:hAnsi="Century Gothic"/>
        </w:rPr>
        <w:t xml:space="preserve"> </w:t>
      </w:r>
      <w:r w:rsidR="006B064F" w:rsidRPr="00C016DD">
        <w:rPr>
          <w:rFonts w:ascii="Century Gothic" w:hAnsi="Century Gothic"/>
        </w:rPr>
        <w:t>del presupuesto de ingresos recaudado mismo que se integra</w:t>
      </w:r>
      <w:r w:rsidR="00D60DA1" w:rsidRPr="00C016DD">
        <w:rPr>
          <w:rFonts w:ascii="Century Gothic" w:hAnsi="Century Gothic"/>
        </w:rPr>
        <w:t xml:space="preserve"> p</w:t>
      </w:r>
      <w:r w:rsidR="006B064F" w:rsidRPr="00C016DD">
        <w:rPr>
          <w:rFonts w:ascii="Century Gothic" w:hAnsi="Century Gothic"/>
        </w:rPr>
        <w:t>o</w:t>
      </w:r>
      <w:r w:rsidR="00D60DA1" w:rsidRPr="00C016DD">
        <w:rPr>
          <w:rFonts w:ascii="Century Gothic" w:hAnsi="Century Gothic"/>
        </w:rPr>
        <w:t xml:space="preserve">r </w:t>
      </w:r>
      <w:r w:rsidR="00167C6B" w:rsidRPr="00C016DD">
        <w:rPr>
          <w:rFonts w:ascii="Century Gothic" w:hAnsi="Century Gothic"/>
        </w:rPr>
        <w:t xml:space="preserve">los rendimientos bancarios obtenidos </w:t>
      </w:r>
      <w:r w:rsidR="006B064F" w:rsidRPr="00C016DD">
        <w:rPr>
          <w:rFonts w:ascii="Century Gothic" w:hAnsi="Century Gothic"/>
        </w:rPr>
        <w:t xml:space="preserve">acumulados </w:t>
      </w:r>
      <w:r w:rsidR="00167C6B" w:rsidRPr="00C016DD">
        <w:rPr>
          <w:rFonts w:ascii="Century Gothic" w:hAnsi="Century Gothic"/>
        </w:rPr>
        <w:t xml:space="preserve">al </w:t>
      </w:r>
      <w:r w:rsidR="00FA133D" w:rsidRPr="00FA133D">
        <w:rPr>
          <w:rFonts w:ascii="Century Gothic" w:hAnsi="Century Gothic"/>
          <w:b/>
        </w:rPr>
        <w:t>3</w:t>
      </w:r>
      <w:r w:rsidR="00E64298">
        <w:rPr>
          <w:rFonts w:ascii="Century Gothic" w:hAnsi="Century Gothic"/>
          <w:b/>
        </w:rPr>
        <w:t>1</w:t>
      </w:r>
      <w:r w:rsidR="00FA133D" w:rsidRPr="00FA133D">
        <w:rPr>
          <w:rFonts w:ascii="Century Gothic" w:hAnsi="Century Gothic"/>
          <w:b/>
        </w:rPr>
        <w:t xml:space="preserve"> de </w:t>
      </w:r>
      <w:r w:rsidR="00E64298">
        <w:rPr>
          <w:rFonts w:ascii="Century Gothic" w:hAnsi="Century Gothic"/>
          <w:b/>
        </w:rPr>
        <w:t>diciembre</w:t>
      </w:r>
      <w:r w:rsidR="006B064F" w:rsidRPr="00C016DD">
        <w:rPr>
          <w:rFonts w:ascii="Century Gothic" w:hAnsi="Century Gothic"/>
          <w:b/>
        </w:rPr>
        <w:t xml:space="preserve"> de </w:t>
      </w:r>
      <w:r w:rsidR="00312AA2" w:rsidRPr="00C016DD">
        <w:rPr>
          <w:rFonts w:ascii="Century Gothic" w:hAnsi="Century Gothic"/>
          <w:b/>
        </w:rPr>
        <w:t>202</w:t>
      </w:r>
      <w:r w:rsidR="00356770">
        <w:rPr>
          <w:rFonts w:ascii="Century Gothic" w:hAnsi="Century Gothic"/>
          <w:b/>
        </w:rPr>
        <w:t>1</w:t>
      </w:r>
      <w:r w:rsidR="006B064F" w:rsidRPr="00C016DD">
        <w:rPr>
          <w:rFonts w:ascii="Century Gothic" w:hAnsi="Century Gothic"/>
          <w:b/>
        </w:rPr>
        <w:t>,</w:t>
      </w:r>
      <w:r w:rsidR="006B064F" w:rsidRPr="00C016DD">
        <w:rPr>
          <w:rFonts w:ascii="Century Gothic" w:hAnsi="Century Gothic"/>
        </w:rPr>
        <w:t xml:space="preserve"> </w:t>
      </w:r>
      <w:r w:rsidR="00167C6B" w:rsidRPr="00C016DD">
        <w:rPr>
          <w:rFonts w:ascii="Century Gothic" w:hAnsi="Century Gothic"/>
        </w:rPr>
        <w:t xml:space="preserve">cierre de mes </w:t>
      </w:r>
      <w:r w:rsidR="006B064F" w:rsidRPr="00C016DD">
        <w:rPr>
          <w:rFonts w:ascii="Century Gothic" w:hAnsi="Century Gothic"/>
        </w:rPr>
        <w:t>según el estado de cuenta bancario expedido por la institución Bancaria Banamex, S.A.</w:t>
      </w:r>
      <w:r w:rsidR="008E1669" w:rsidRPr="00C016DD">
        <w:rPr>
          <w:rFonts w:ascii="Century Gothic" w:hAnsi="Century Gothic"/>
        </w:rPr>
        <w:t xml:space="preserve"> </w:t>
      </w:r>
    </w:p>
    <w:p w:rsidR="00FA133D" w:rsidRDefault="00D60DA1" w:rsidP="00EF64B9">
      <w:pPr>
        <w:tabs>
          <w:tab w:val="left" w:pos="426"/>
        </w:tabs>
        <w:ind w:left="420" w:hanging="420"/>
        <w:jc w:val="both"/>
        <w:rPr>
          <w:rFonts w:ascii="Century Gothic" w:hAnsi="Century Gothic"/>
        </w:rPr>
      </w:pPr>
      <w:r w:rsidRPr="00C016DD">
        <w:rPr>
          <w:rFonts w:ascii="Century Gothic" w:hAnsi="Century Gothic"/>
        </w:rPr>
        <w:tab/>
      </w:r>
    </w:p>
    <w:p w:rsidR="00D60DA1" w:rsidRPr="00C016DD" w:rsidRDefault="00D60DA1" w:rsidP="00EF64B9">
      <w:pPr>
        <w:tabs>
          <w:tab w:val="left" w:pos="426"/>
        </w:tabs>
        <w:ind w:left="420" w:hanging="420"/>
        <w:jc w:val="both"/>
        <w:rPr>
          <w:rFonts w:ascii="Century Gothic" w:hAnsi="Century Gothic"/>
        </w:rPr>
      </w:pPr>
      <w:r w:rsidRPr="00C016DD">
        <w:rPr>
          <w:rFonts w:ascii="Century Gothic" w:hAnsi="Century Gothic"/>
          <w:b/>
        </w:rPr>
        <w:t>Estado Analítico del presupuesto de Egresos</w:t>
      </w:r>
      <w:r w:rsidR="00A47E99" w:rsidRPr="00C016DD">
        <w:rPr>
          <w:rFonts w:ascii="Century Gothic" w:hAnsi="Century Gothic"/>
          <w:b/>
        </w:rPr>
        <w:t>.</w:t>
      </w:r>
    </w:p>
    <w:p w:rsidR="00631E9A" w:rsidRDefault="00D60DA1" w:rsidP="00EF64B9">
      <w:pPr>
        <w:tabs>
          <w:tab w:val="left" w:pos="426"/>
        </w:tabs>
        <w:ind w:left="420" w:hanging="420"/>
        <w:jc w:val="both"/>
        <w:rPr>
          <w:rFonts w:ascii="Century Gothic" w:hAnsi="Century Gothic"/>
        </w:rPr>
      </w:pPr>
      <w:r w:rsidRPr="00C016DD">
        <w:rPr>
          <w:rFonts w:ascii="Century Gothic" w:hAnsi="Century Gothic"/>
        </w:rPr>
        <w:tab/>
        <w:t xml:space="preserve">En este Estado se informa el presupuesto ejercido al </w:t>
      </w:r>
      <w:r w:rsidR="00FA133D" w:rsidRPr="00FA133D">
        <w:rPr>
          <w:rFonts w:ascii="Century Gothic" w:hAnsi="Century Gothic"/>
          <w:b/>
        </w:rPr>
        <w:t>3</w:t>
      </w:r>
      <w:r w:rsidR="00E64298">
        <w:rPr>
          <w:rFonts w:ascii="Century Gothic" w:hAnsi="Century Gothic"/>
          <w:b/>
        </w:rPr>
        <w:t>1</w:t>
      </w:r>
      <w:r w:rsidR="00FA133D" w:rsidRPr="00FA133D">
        <w:rPr>
          <w:rFonts w:ascii="Century Gothic" w:hAnsi="Century Gothic"/>
          <w:b/>
        </w:rPr>
        <w:t xml:space="preserve"> de </w:t>
      </w:r>
      <w:r w:rsidR="00E64298">
        <w:rPr>
          <w:rFonts w:ascii="Century Gothic" w:hAnsi="Century Gothic"/>
          <w:b/>
        </w:rPr>
        <w:t>dic</w:t>
      </w:r>
      <w:r w:rsidR="006B62DA">
        <w:rPr>
          <w:rFonts w:ascii="Century Gothic" w:hAnsi="Century Gothic"/>
          <w:b/>
        </w:rPr>
        <w:t>iembre</w:t>
      </w:r>
      <w:r w:rsidR="00CE34C5" w:rsidRPr="00C016DD">
        <w:rPr>
          <w:rFonts w:ascii="Century Gothic" w:hAnsi="Century Gothic"/>
          <w:b/>
        </w:rPr>
        <w:t xml:space="preserve"> de </w:t>
      </w:r>
      <w:r w:rsidR="00312AA2" w:rsidRPr="00C016DD">
        <w:rPr>
          <w:rFonts w:ascii="Century Gothic" w:hAnsi="Century Gothic"/>
          <w:b/>
        </w:rPr>
        <w:t>202</w:t>
      </w:r>
      <w:r w:rsidR="00356770">
        <w:rPr>
          <w:rFonts w:ascii="Century Gothic" w:hAnsi="Century Gothic"/>
          <w:b/>
        </w:rPr>
        <w:t>1</w:t>
      </w:r>
      <w:r w:rsidRPr="00C016DD">
        <w:rPr>
          <w:rFonts w:ascii="Century Gothic" w:hAnsi="Century Gothic"/>
        </w:rPr>
        <w:t xml:space="preserve">, así como su </w:t>
      </w:r>
      <w:r w:rsidR="000A12EE" w:rsidRPr="00C016DD">
        <w:rPr>
          <w:rFonts w:ascii="Century Gothic" w:hAnsi="Century Gothic"/>
        </w:rPr>
        <w:t>variación</w:t>
      </w:r>
      <w:r w:rsidRPr="00C016DD">
        <w:rPr>
          <w:rFonts w:ascii="Century Gothic" w:hAnsi="Century Gothic"/>
        </w:rPr>
        <w:t xml:space="preserve"> porcentual</w:t>
      </w:r>
      <w:r w:rsidR="000A12EE" w:rsidRPr="00C016DD">
        <w:rPr>
          <w:rFonts w:ascii="Century Gothic" w:hAnsi="Century Gothic"/>
        </w:rPr>
        <w:t xml:space="preserve"> con relación a lo aprobado en el presupuesto de egresos, destacando los rubros de gasto que incidieron en dicha variación.</w:t>
      </w:r>
      <w:r w:rsidR="000A12EE" w:rsidRPr="00C016DD">
        <w:rPr>
          <w:rFonts w:ascii="Century Gothic" w:hAnsi="Century Gothic"/>
        </w:rPr>
        <w:tab/>
      </w:r>
    </w:p>
    <w:p w:rsidR="000A12EE" w:rsidRPr="00C016DD" w:rsidRDefault="000A12EE" w:rsidP="00EF64B9">
      <w:pPr>
        <w:tabs>
          <w:tab w:val="left" w:pos="426"/>
        </w:tabs>
        <w:ind w:left="420" w:hanging="420"/>
        <w:jc w:val="both"/>
        <w:rPr>
          <w:rFonts w:ascii="Century Gothic" w:hAnsi="Century Gothic"/>
        </w:rPr>
      </w:pPr>
      <w:r w:rsidRPr="00C016DD">
        <w:rPr>
          <w:rFonts w:ascii="Century Gothic" w:hAnsi="Century Gothic"/>
          <w:b/>
        </w:rPr>
        <w:lastRenderedPageBreak/>
        <w:t>Conciliación de los Ingresos y Egresos Presupuestarios y Contables</w:t>
      </w:r>
      <w:r w:rsidR="00A47E99" w:rsidRPr="00C016DD">
        <w:rPr>
          <w:rFonts w:ascii="Century Gothic" w:hAnsi="Century Gothic"/>
          <w:b/>
        </w:rPr>
        <w:t>.</w:t>
      </w:r>
    </w:p>
    <w:p w:rsidR="00D94B86" w:rsidRPr="00C016DD" w:rsidRDefault="00D94B86" w:rsidP="00EF64B9">
      <w:pPr>
        <w:tabs>
          <w:tab w:val="left" w:pos="426"/>
        </w:tabs>
        <w:ind w:left="420" w:hanging="420"/>
        <w:jc w:val="both"/>
        <w:rPr>
          <w:rFonts w:ascii="Century Gothic" w:hAnsi="Century Gothic"/>
        </w:rPr>
      </w:pPr>
      <w:r w:rsidRPr="00C016DD">
        <w:rPr>
          <w:rFonts w:ascii="Century Gothic" w:hAnsi="Century Gothic"/>
        </w:rPr>
        <w:tab/>
        <w:t xml:space="preserve">Conforme a lo establecido en el acuerdo emitido por el Consejo Nacional de Armonización Contable de fecha 24 de </w:t>
      </w:r>
      <w:r w:rsidR="00536336">
        <w:rPr>
          <w:rFonts w:ascii="Century Gothic" w:hAnsi="Century Gothic"/>
        </w:rPr>
        <w:t>septiembre</w:t>
      </w:r>
      <w:r w:rsidRPr="00C016DD">
        <w:rPr>
          <w:rFonts w:ascii="Century Gothic" w:hAnsi="Century Gothic"/>
        </w:rPr>
        <w:t xml:space="preserve"> de 2014. Las conciliaciones entre los ingresos presupuestales y contables, </w:t>
      </w:r>
      <w:r w:rsidR="008E1669" w:rsidRPr="00C016DD">
        <w:rPr>
          <w:rFonts w:ascii="Century Gothic" w:hAnsi="Century Gothic"/>
        </w:rPr>
        <w:t>a</w:t>
      </w:r>
      <w:r w:rsidRPr="00C016DD">
        <w:rPr>
          <w:rFonts w:ascii="Century Gothic" w:hAnsi="Century Gothic"/>
        </w:rPr>
        <w:t>sí como de egresos, son la vinculación del Estado de Actividades</w:t>
      </w:r>
      <w:r w:rsidR="008E1669" w:rsidRPr="00C016DD">
        <w:rPr>
          <w:rFonts w:ascii="Century Gothic" w:hAnsi="Century Gothic"/>
        </w:rPr>
        <w:t xml:space="preserve"> y el Estado del Ejercicio del P</w:t>
      </w:r>
      <w:r w:rsidRPr="00C016DD">
        <w:rPr>
          <w:rFonts w:ascii="Century Gothic" w:hAnsi="Century Gothic"/>
        </w:rPr>
        <w:t>resupuesto. Por lo anterior se anexan</w:t>
      </w:r>
      <w:r w:rsidR="00100DEB" w:rsidRPr="00C016DD">
        <w:rPr>
          <w:rFonts w:ascii="Century Gothic" w:hAnsi="Century Gothic"/>
        </w:rPr>
        <w:t xml:space="preserve"> (anexos </w:t>
      </w:r>
      <w:r w:rsidR="00B40362" w:rsidRPr="00C016DD">
        <w:rPr>
          <w:rFonts w:ascii="Century Gothic" w:hAnsi="Century Gothic"/>
        </w:rPr>
        <w:t>1</w:t>
      </w:r>
      <w:r w:rsidR="00100DEB" w:rsidRPr="00C016DD">
        <w:rPr>
          <w:rFonts w:ascii="Century Gothic" w:hAnsi="Century Gothic"/>
        </w:rPr>
        <w:t xml:space="preserve"> y </w:t>
      </w:r>
      <w:r w:rsidR="00B40362" w:rsidRPr="00C016DD">
        <w:rPr>
          <w:rFonts w:ascii="Century Gothic" w:hAnsi="Century Gothic"/>
        </w:rPr>
        <w:t>2</w:t>
      </w:r>
      <w:r w:rsidR="00100DEB" w:rsidRPr="00C016DD">
        <w:rPr>
          <w:rFonts w:ascii="Century Gothic" w:hAnsi="Century Gothic"/>
        </w:rPr>
        <w:t>)</w:t>
      </w:r>
      <w:r w:rsidRPr="00C016DD">
        <w:rPr>
          <w:rFonts w:ascii="Century Gothic" w:hAnsi="Century Gothic"/>
        </w:rPr>
        <w:t xml:space="preserve"> a los Estados Financieros las conciliaciones al </w:t>
      </w:r>
      <w:r w:rsidR="00CA003D" w:rsidRPr="00CA003D">
        <w:rPr>
          <w:rFonts w:ascii="Century Gothic" w:hAnsi="Century Gothic"/>
          <w:b/>
        </w:rPr>
        <w:t>3</w:t>
      </w:r>
      <w:r w:rsidR="00E64298">
        <w:rPr>
          <w:rFonts w:ascii="Century Gothic" w:hAnsi="Century Gothic"/>
          <w:b/>
        </w:rPr>
        <w:t>1</w:t>
      </w:r>
      <w:r w:rsidR="00CA003D" w:rsidRPr="00CA003D">
        <w:rPr>
          <w:rFonts w:ascii="Century Gothic" w:hAnsi="Century Gothic"/>
          <w:b/>
        </w:rPr>
        <w:t xml:space="preserve"> de </w:t>
      </w:r>
      <w:r w:rsidR="00E64298">
        <w:rPr>
          <w:rFonts w:ascii="Century Gothic" w:hAnsi="Century Gothic"/>
          <w:b/>
        </w:rPr>
        <w:t>dic</w:t>
      </w:r>
      <w:r w:rsidR="006B62DA">
        <w:rPr>
          <w:rFonts w:ascii="Century Gothic" w:hAnsi="Century Gothic"/>
          <w:b/>
        </w:rPr>
        <w:t>iembre</w:t>
      </w:r>
      <w:r w:rsidR="00CE34C5" w:rsidRPr="00C016DD">
        <w:rPr>
          <w:rFonts w:ascii="Century Gothic" w:hAnsi="Century Gothic"/>
          <w:b/>
        </w:rPr>
        <w:t xml:space="preserve"> de </w:t>
      </w:r>
      <w:r w:rsidR="00312AA2" w:rsidRPr="00C016DD">
        <w:rPr>
          <w:rFonts w:ascii="Century Gothic" w:hAnsi="Century Gothic"/>
          <w:b/>
        </w:rPr>
        <w:t>202</w:t>
      </w:r>
      <w:r w:rsidR="00356770">
        <w:rPr>
          <w:rFonts w:ascii="Century Gothic" w:hAnsi="Century Gothic"/>
          <w:b/>
        </w:rPr>
        <w:t>1</w:t>
      </w:r>
      <w:r w:rsidRPr="00C016DD">
        <w:rPr>
          <w:rFonts w:ascii="Century Gothic" w:hAnsi="Century Gothic"/>
          <w:b/>
        </w:rPr>
        <w:t>.</w:t>
      </w:r>
    </w:p>
    <w:p w:rsidR="00D94B86" w:rsidRPr="00C016DD" w:rsidRDefault="00D94B86" w:rsidP="00EF64B9">
      <w:pPr>
        <w:tabs>
          <w:tab w:val="left" w:pos="426"/>
        </w:tabs>
        <w:ind w:left="420" w:hanging="420"/>
        <w:jc w:val="both"/>
        <w:rPr>
          <w:rFonts w:ascii="Century Gothic" w:hAnsi="Century Gothic"/>
        </w:rPr>
      </w:pPr>
    </w:p>
    <w:p w:rsidR="00836E22" w:rsidRPr="00C016DD" w:rsidRDefault="00836E22" w:rsidP="00836E22">
      <w:pPr>
        <w:pStyle w:val="Prrafodelista"/>
        <w:numPr>
          <w:ilvl w:val="0"/>
          <w:numId w:val="1"/>
        </w:numPr>
        <w:tabs>
          <w:tab w:val="left" w:pos="426"/>
        </w:tabs>
        <w:jc w:val="both"/>
        <w:rPr>
          <w:rFonts w:ascii="Century Gothic" w:hAnsi="Century Gothic"/>
          <w:b/>
        </w:rPr>
      </w:pPr>
      <w:r w:rsidRPr="00C016DD">
        <w:rPr>
          <w:rFonts w:ascii="Century Gothic" w:hAnsi="Century Gothic"/>
          <w:b/>
        </w:rPr>
        <w:t>NOTAS DE MEMORIA (Cuentas de Orden)</w:t>
      </w:r>
      <w:r w:rsidR="00A47E99" w:rsidRPr="00C016DD">
        <w:rPr>
          <w:rFonts w:ascii="Century Gothic" w:hAnsi="Century Gothic"/>
          <w:b/>
        </w:rPr>
        <w:t>.</w:t>
      </w:r>
    </w:p>
    <w:p w:rsidR="00836E22" w:rsidRDefault="00836E22" w:rsidP="00836E22">
      <w:pPr>
        <w:tabs>
          <w:tab w:val="left" w:pos="426"/>
        </w:tabs>
        <w:jc w:val="both"/>
        <w:rPr>
          <w:rFonts w:ascii="Century Gothic" w:hAnsi="Century Gothic"/>
        </w:rPr>
      </w:pPr>
      <w:r w:rsidRPr="00C016DD">
        <w:rPr>
          <w:rFonts w:ascii="Century Gothic" w:hAnsi="Century Gothic"/>
        </w:rPr>
        <w:t>Las cuentas de orden se utilizan para registrar movimientos de valores que no afecten o modifiquen el Estado de Situación Financiera del Fideicomiso, sin embargo, su incorporación en libros es necesaria con el fin de recordatorio contable, de control y en general sobre los aspectos administrativos, o bien para consignar sus derechos o responsabilidades contingentes que puedan o no presentarse en el futuro.</w:t>
      </w:r>
    </w:p>
    <w:p w:rsidR="00A1017C" w:rsidRPr="00C016DD" w:rsidRDefault="00A1017C" w:rsidP="00836E22">
      <w:pPr>
        <w:tabs>
          <w:tab w:val="left" w:pos="426"/>
        </w:tabs>
        <w:jc w:val="both"/>
        <w:rPr>
          <w:rFonts w:ascii="Century Gothic" w:hAnsi="Century Gothic"/>
        </w:rPr>
      </w:pPr>
    </w:p>
    <w:p w:rsidR="00421BEF" w:rsidRPr="00C016DD" w:rsidRDefault="00F3012A" w:rsidP="00836E22">
      <w:pPr>
        <w:tabs>
          <w:tab w:val="left" w:pos="426"/>
        </w:tabs>
        <w:jc w:val="both"/>
        <w:rPr>
          <w:rFonts w:ascii="Century Gothic" w:hAnsi="Century Gothic"/>
          <w:b/>
        </w:rPr>
      </w:pPr>
      <w:r w:rsidRPr="00C016DD">
        <w:rPr>
          <w:rFonts w:ascii="Century Gothic" w:hAnsi="Century Gothic"/>
          <w:b/>
        </w:rPr>
        <w:t>Cuentas de Orden Contables</w:t>
      </w:r>
      <w:r w:rsidR="00A47E99" w:rsidRPr="00C016DD">
        <w:rPr>
          <w:rFonts w:ascii="Century Gothic" w:hAnsi="Century Gothic"/>
          <w:b/>
        </w:rPr>
        <w:t>.</w:t>
      </w:r>
    </w:p>
    <w:p w:rsidR="00421BEF" w:rsidRPr="00C016DD" w:rsidRDefault="00421BEF" w:rsidP="00990D1C">
      <w:pPr>
        <w:tabs>
          <w:tab w:val="left" w:pos="426"/>
        </w:tabs>
        <w:spacing w:line="240" w:lineRule="auto"/>
        <w:jc w:val="both"/>
        <w:rPr>
          <w:rFonts w:ascii="Century Gothic" w:hAnsi="Century Gothic"/>
        </w:rPr>
      </w:pPr>
      <w:r w:rsidRPr="00C016DD">
        <w:rPr>
          <w:rFonts w:ascii="Century Gothic" w:hAnsi="Century Gothic"/>
        </w:rPr>
        <w:t>No se cuenta con registro en este rubro.</w:t>
      </w:r>
    </w:p>
    <w:p w:rsidR="00F3012A" w:rsidRPr="00C016DD" w:rsidRDefault="00F3012A" w:rsidP="00990D1C">
      <w:pPr>
        <w:tabs>
          <w:tab w:val="left" w:pos="426"/>
        </w:tabs>
        <w:spacing w:line="240" w:lineRule="auto"/>
        <w:jc w:val="both"/>
        <w:rPr>
          <w:rFonts w:ascii="Century Gothic" w:hAnsi="Century Gothic"/>
        </w:rPr>
      </w:pPr>
      <w:r w:rsidRPr="00C016DD">
        <w:rPr>
          <w:rFonts w:ascii="Century Gothic" w:hAnsi="Century Gothic"/>
          <w:b/>
        </w:rPr>
        <w:t>Cuentas de Orden Presupuestales</w:t>
      </w:r>
      <w:r w:rsidR="00A47E99" w:rsidRPr="00C016DD">
        <w:rPr>
          <w:rFonts w:ascii="Century Gothic" w:hAnsi="Century Gothic"/>
          <w:b/>
        </w:rPr>
        <w:t>:</w:t>
      </w:r>
    </w:p>
    <w:tbl>
      <w:tblPr>
        <w:tblStyle w:val="Tablaconcuadrcula"/>
        <w:tblW w:w="0" w:type="auto"/>
        <w:tblLook w:val="04A0" w:firstRow="1" w:lastRow="0" w:firstColumn="1" w:lastColumn="0" w:noHBand="0" w:noVBand="1"/>
      </w:tblPr>
      <w:tblGrid>
        <w:gridCol w:w="5495"/>
        <w:gridCol w:w="2126"/>
      </w:tblGrid>
      <w:tr w:rsidR="00F3012A" w:rsidRPr="00C016DD" w:rsidTr="00E542BC">
        <w:tc>
          <w:tcPr>
            <w:tcW w:w="5495" w:type="dxa"/>
            <w:shd w:val="clear" w:color="auto" w:fill="A6A6A6" w:themeFill="background1" w:themeFillShade="A6"/>
          </w:tcPr>
          <w:p w:rsidR="00F3012A" w:rsidRPr="00C016DD" w:rsidRDefault="00F3012A" w:rsidP="00F3012A">
            <w:pPr>
              <w:tabs>
                <w:tab w:val="left" w:pos="426"/>
              </w:tabs>
              <w:jc w:val="center"/>
              <w:rPr>
                <w:rFonts w:ascii="Century Gothic" w:hAnsi="Century Gothic"/>
                <w:b/>
              </w:rPr>
            </w:pPr>
            <w:r w:rsidRPr="00C016DD">
              <w:rPr>
                <w:rFonts w:ascii="Century Gothic" w:hAnsi="Century Gothic"/>
                <w:b/>
              </w:rPr>
              <w:t>Ingresos</w:t>
            </w:r>
          </w:p>
        </w:tc>
        <w:tc>
          <w:tcPr>
            <w:tcW w:w="2126" w:type="dxa"/>
            <w:shd w:val="clear" w:color="auto" w:fill="A6A6A6" w:themeFill="background1" w:themeFillShade="A6"/>
          </w:tcPr>
          <w:p w:rsidR="00F3012A" w:rsidRPr="00C016DD" w:rsidRDefault="00F3012A" w:rsidP="00F3012A">
            <w:pPr>
              <w:tabs>
                <w:tab w:val="left" w:pos="426"/>
              </w:tabs>
              <w:jc w:val="center"/>
              <w:rPr>
                <w:rFonts w:ascii="Century Gothic" w:hAnsi="Century Gothic"/>
                <w:b/>
              </w:rPr>
            </w:pPr>
            <w:r w:rsidRPr="00C016DD">
              <w:rPr>
                <w:rFonts w:ascii="Century Gothic" w:hAnsi="Century Gothic"/>
                <w:b/>
              </w:rPr>
              <w:t>Importe</w:t>
            </w:r>
          </w:p>
        </w:tc>
      </w:tr>
      <w:tr w:rsidR="00F3012A" w:rsidRPr="00C016DD" w:rsidTr="008A3F1E">
        <w:tc>
          <w:tcPr>
            <w:tcW w:w="5495" w:type="dxa"/>
          </w:tcPr>
          <w:p w:rsidR="00F3012A" w:rsidRPr="00C016DD" w:rsidRDefault="00F3012A" w:rsidP="00836E22">
            <w:pPr>
              <w:tabs>
                <w:tab w:val="left" w:pos="426"/>
              </w:tabs>
              <w:jc w:val="both"/>
              <w:rPr>
                <w:rFonts w:ascii="Century Gothic" w:hAnsi="Century Gothic"/>
              </w:rPr>
            </w:pPr>
            <w:r w:rsidRPr="00C016DD">
              <w:rPr>
                <w:rFonts w:ascii="Century Gothic" w:hAnsi="Century Gothic"/>
              </w:rPr>
              <w:t>Ley de ingresos Estimada</w:t>
            </w:r>
          </w:p>
        </w:tc>
        <w:tc>
          <w:tcPr>
            <w:tcW w:w="2126" w:type="dxa"/>
          </w:tcPr>
          <w:p w:rsidR="00F3012A" w:rsidRPr="00C016DD" w:rsidRDefault="00F3012A" w:rsidP="00356770">
            <w:pPr>
              <w:tabs>
                <w:tab w:val="left" w:pos="426"/>
              </w:tabs>
              <w:jc w:val="right"/>
              <w:rPr>
                <w:rFonts w:ascii="Century Gothic" w:hAnsi="Century Gothic"/>
              </w:rPr>
            </w:pPr>
            <w:r w:rsidRPr="00C016DD">
              <w:rPr>
                <w:rFonts w:ascii="Century Gothic" w:hAnsi="Century Gothic"/>
              </w:rPr>
              <w:t>$</w:t>
            </w:r>
            <w:r w:rsidR="001C53E6" w:rsidRPr="00C016DD">
              <w:rPr>
                <w:rFonts w:ascii="Century Gothic" w:hAnsi="Century Gothic"/>
              </w:rPr>
              <w:t xml:space="preserve"> </w:t>
            </w:r>
            <w:r w:rsidR="00356770">
              <w:rPr>
                <w:rFonts w:ascii="Century Gothic" w:hAnsi="Century Gothic"/>
              </w:rPr>
              <w:t>17,890.59</w:t>
            </w:r>
          </w:p>
        </w:tc>
      </w:tr>
      <w:tr w:rsidR="006F5778" w:rsidRPr="00C016DD" w:rsidTr="008A3F1E">
        <w:tc>
          <w:tcPr>
            <w:tcW w:w="5495" w:type="dxa"/>
          </w:tcPr>
          <w:p w:rsidR="006F5778" w:rsidRPr="00C016DD" w:rsidRDefault="006F5778" w:rsidP="00EE7D97">
            <w:pPr>
              <w:tabs>
                <w:tab w:val="left" w:pos="426"/>
              </w:tabs>
              <w:jc w:val="both"/>
              <w:rPr>
                <w:rFonts w:ascii="Century Gothic" w:hAnsi="Century Gothic"/>
              </w:rPr>
            </w:pPr>
            <w:r w:rsidRPr="00C016DD">
              <w:rPr>
                <w:rFonts w:ascii="Century Gothic" w:hAnsi="Century Gothic"/>
              </w:rPr>
              <w:t>Modificaciones a la Ley de Ingresos Estimada</w:t>
            </w:r>
          </w:p>
        </w:tc>
        <w:tc>
          <w:tcPr>
            <w:tcW w:w="2126" w:type="dxa"/>
          </w:tcPr>
          <w:p w:rsidR="006F5778" w:rsidRPr="00C016DD" w:rsidRDefault="006318DA" w:rsidP="00D4761E">
            <w:pPr>
              <w:tabs>
                <w:tab w:val="left" w:pos="426"/>
              </w:tabs>
              <w:jc w:val="right"/>
              <w:rPr>
                <w:rFonts w:ascii="Century Gothic" w:hAnsi="Century Gothic"/>
              </w:rPr>
            </w:pPr>
            <w:r>
              <w:rPr>
                <w:rFonts w:ascii="Century Gothic" w:hAnsi="Century Gothic"/>
              </w:rPr>
              <w:t>584,935.00</w:t>
            </w:r>
          </w:p>
        </w:tc>
      </w:tr>
      <w:tr w:rsidR="00F3012A" w:rsidRPr="00C016DD" w:rsidTr="008A3F1E">
        <w:tc>
          <w:tcPr>
            <w:tcW w:w="5495" w:type="dxa"/>
          </w:tcPr>
          <w:p w:rsidR="00F3012A" w:rsidRPr="00C016DD" w:rsidRDefault="00F3012A" w:rsidP="00EE7D97">
            <w:pPr>
              <w:tabs>
                <w:tab w:val="left" w:pos="426"/>
              </w:tabs>
              <w:jc w:val="both"/>
              <w:rPr>
                <w:rFonts w:ascii="Century Gothic" w:hAnsi="Century Gothic"/>
              </w:rPr>
            </w:pPr>
            <w:r w:rsidRPr="00C016DD">
              <w:rPr>
                <w:rFonts w:ascii="Century Gothic" w:hAnsi="Century Gothic"/>
              </w:rPr>
              <w:t>Ley de ingresos Devengada</w:t>
            </w:r>
          </w:p>
        </w:tc>
        <w:tc>
          <w:tcPr>
            <w:tcW w:w="2126" w:type="dxa"/>
          </w:tcPr>
          <w:p w:rsidR="00F3012A" w:rsidRPr="00C016DD" w:rsidRDefault="00E64298" w:rsidP="00A53DBB">
            <w:pPr>
              <w:tabs>
                <w:tab w:val="left" w:pos="426"/>
              </w:tabs>
              <w:jc w:val="right"/>
              <w:rPr>
                <w:rFonts w:ascii="Century Gothic" w:hAnsi="Century Gothic"/>
              </w:rPr>
            </w:pPr>
            <w:r>
              <w:rPr>
                <w:rFonts w:ascii="Century Gothic" w:hAnsi="Century Gothic"/>
              </w:rPr>
              <w:t>602,617.68</w:t>
            </w:r>
          </w:p>
        </w:tc>
      </w:tr>
      <w:tr w:rsidR="00E64298" w:rsidRPr="00C016DD" w:rsidTr="008A3F1E">
        <w:tc>
          <w:tcPr>
            <w:tcW w:w="5495" w:type="dxa"/>
          </w:tcPr>
          <w:p w:rsidR="00E64298" w:rsidRPr="00C016DD" w:rsidRDefault="00E64298" w:rsidP="00EE7D97">
            <w:pPr>
              <w:tabs>
                <w:tab w:val="left" w:pos="426"/>
              </w:tabs>
              <w:jc w:val="both"/>
              <w:rPr>
                <w:rFonts w:ascii="Century Gothic" w:hAnsi="Century Gothic"/>
              </w:rPr>
            </w:pPr>
            <w:r w:rsidRPr="00C016DD">
              <w:rPr>
                <w:rFonts w:ascii="Century Gothic" w:hAnsi="Century Gothic"/>
              </w:rPr>
              <w:t>Ley de ingresos Recaudada</w:t>
            </w:r>
          </w:p>
        </w:tc>
        <w:tc>
          <w:tcPr>
            <w:tcW w:w="2126" w:type="dxa"/>
          </w:tcPr>
          <w:p w:rsidR="00E64298" w:rsidRPr="00C016DD" w:rsidRDefault="00E64298" w:rsidP="003A7822">
            <w:pPr>
              <w:tabs>
                <w:tab w:val="left" w:pos="426"/>
              </w:tabs>
              <w:jc w:val="right"/>
              <w:rPr>
                <w:rFonts w:ascii="Century Gothic" w:hAnsi="Century Gothic"/>
              </w:rPr>
            </w:pPr>
            <w:r>
              <w:rPr>
                <w:rFonts w:ascii="Century Gothic" w:hAnsi="Century Gothic"/>
              </w:rPr>
              <w:t>602,617.68</w:t>
            </w:r>
          </w:p>
        </w:tc>
      </w:tr>
    </w:tbl>
    <w:tbl>
      <w:tblPr>
        <w:tblStyle w:val="Tablaconcuadrcula"/>
        <w:tblpPr w:leftFromText="141" w:rightFromText="141" w:vertAnchor="text" w:horzAnchor="margin" w:tblpY="264"/>
        <w:tblW w:w="0" w:type="auto"/>
        <w:tblLayout w:type="fixed"/>
        <w:tblLook w:val="04A0" w:firstRow="1" w:lastRow="0" w:firstColumn="1" w:lastColumn="0" w:noHBand="0" w:noVBand="1"/>
      </w:tblPr>
      <w:tblGrid>
        <w:gridCol w:w="5495"/>
        <w:gridCol w:w="2126"/>
      </w:tblGrid>
      <w:tr w:rsidR="00A1017C" w:rsidRPr="00C016DD" w:rsidTr="00E542BC">
        <w:tc>
          <w:tcPr>
            <w:tcW w:w="5495" w:type="dxa"/>
            <w:shd w:val="clear" w:color="auto" w:fill="A6A6A6" w:themeFill="background1" w:themeFillShade="A6"/>
          </w:tcPr>
          <w:p w:rsidR="00A1017C" w:rsidRPr="00C016DD" w:rsidRDefault="00A1017C" w:rsidP="00A1017C">
            <w:pPr>
              <w:tabs>
                <w:tab w:val="left" w:pos="426"/>
              </w:tabs>
              <w:jc w:val="center"/>
              <w:rPr>
                <w:rFonts w:ascii="Century Gothic" w:hAnsi="Century Gothic"/>
                <w:b/>
              </w:rPr>
            </w:pPr>
            <w:r w:rsidRPr="00C016DD">
              <w:rPr>
                <w:rFonts w:ascii="Century Gothic" w:hAnsi="Century Gothic"/>
                <w:b/>
              </w:rPr>
              <w:t>Egresos</w:t>
            </w:r>
          </w:p>
        </w:tc>
        <w:tc>
          <w:tcPr>
            <w:tcW w:w="2126" w:type="dxa"/>
            <w:shd w:val="clear" w:color="auto" w:fill="A6A6A6" w:themeFill="background1" w:themeFillShade="A6"/>
          </w:tcPr>
          <w:p w:rsidR="00A1017C" w:rsidRPr="00C016DD" w:rsidRDefault="00A1017C" w:rsidP="00A1017C">
            <w:pPr>
              <w:tabs>
                <w:tab w:val="left" w:pos="426"/>
              </w:tabs>
              <w:jc w:val="center"/>
              <w:rPr>
                <w:rFonts w:ascii="Century Gothic" w:hAnsi="Century Gothic"/>
                <w:b/>
              </w:rPr>
            </w:pPr>
            <w:r w:rsidRPr="00C016DD">
              <w:rPr>
                <w:rFonts w:ascii="Century Gothic" w:hAnsi="Century Gothic"/>
                <w:b/>
              </w:rPr>
              <w:t>Importe</w:t>
            </w:r>
          </w:p>
        </w:tc>
      </w:tr>
      <w:tr w:rsidR="00A1017C" w:rsidRPr="00C016DD" w:rsidTr="00A1017C">
        <w:tc>
          <w:tcPr>
            <w:tcW w:w="5495" w:type="dxa"/>
          </w:tcPr>
          <w:p w:rsidR="00A1017C" w:rsidRPr="00C016DD" w:rsidRDefault="00A1017C" w:rsidP="00A1017C">
            <w:pPr>
              <w:tabs>
                <w:tab w:val="left" w:pos="426"/>
              </w:tabs>
              <w:jc w:val="both"/>
              <w:rPr>
                <w:rFonts w:ascii="Century Gothic" w:hAnsi="Century Gothic"/>
              </w:rPr>
            </w:pPr>
            <w:r w:rsidRPr="00C016DD">
              <w:rPr>
                <w:rFonts w:ascii="Century Gothic" w:hAnsi="Century Gothic"/>
              </w:rPr>
              <w:t>Presupuesto de Egresos Aprobado</w:t>
            </w:r>
          </w:p>
        </w:tc>
        <w:tc>
          <w:tcPr>
            <w:tcW w:w="2126" w:type="dxa"/>
          </w:tcPr>
          <w:p w:rsidR="00A1017C" w:rsidRPr="00C016DD" w:rsidRDefault="00A1017C" w:rsidP="00356770">
            <w:pPr>
              <w:tabs>
                <w:tab w:val="left" w:pos="426"/>
              </w:tabs>
              <w:jc w:val="right"/>
              <w:rPr>
                <w:rFonts w:ascii="Century Gothic" w:hAnsi="Century Gothic"/>
              </w:rPr>
            </w:pPr>
            <w:r>
              <w:rPr>
                <w:rFonts w:ascii="Century Gothic" w:hAnsi="Century Gothic"/>
              </w:rPr>
              <w:t xml:space="preserve">$ </w:t>
            </w:r>
            <w:r w:rsidR="00356770">
              <w:rPr>
                <w:rFonts w:ascii="Century Gothic" w:hAnsi="Century Gothic"/>
              </w:rPr>
              <w:t>17’647,748.37</w:t>
            </w:r>
          </w:p>
        </w:tc>
      </w:tr>
      <w:tr w:rsidR="00A1017C" w:rsidRPr="00C016DD" w:rsidTr="00A1017C">
        <w:tc>
          <w:tcPr>
            <w:tcW w:w="5495" w:type="dxa"/>
          </w:tcPr>
          <w:p w:rsidR="00A1017C" w:rsidRPr="00C016DD" w:rsidRDefault="00A1017C" w:rsidP="00A1017C">
            <w:pPr>
              <w:tabs>
                <w:tab w:val="left" w:pos="426"/>
              </w:tabs>
              <w:jc w:val="both"/>
              <w:rPr>
                <w:rFonts w:ascii="Century Gothic" w:hAnsi="Century Gothic"/>
              </w:rPr>
            </w:pPr>
            <w:r w:rsidRPr="00C016DD">
              <w:rPr>
                <w:rFonts w:ascii="Century Gothic" w:hAnsi="Century Gothic"/>
              </w:rPr>
              <w:t>Presupuesto de Egresos por Ejercer</w:t>
            </w:r>
          </w:p>
        </w:tc>
        <w:tc>
          <w:tcPr>
            <w:tcW w:w="2126" w:type="dxa"/>
          </w:tcPr>
          <w:p w:rsidR="00A1017C" w:rsidRPr="00C016DD" w:rsidRDefault="00631E9A" w:rsidP="00A53DBB">
            <w:pPr>
              <w:tabs>
                <w:tab w:val="left" w:pos="426"/>
              </w:tabs>
              <w:jc w:val="right"/>
              <w:rPr>
                <w:rFonts w:ascii="Century Gothic" w:hAnsi="Century Gothic"/>
              </w:rPr>
            </w:pPr>
            <w:r>
              <w:rPr>
                <w:rFonts w:ascii="Century Gothic" w:hAnsi="Century Gothic"/>
              </w:rPr>
              <w:t>15’7</w:t>
            </w:r>
            <w:r w:rsidR="00A53DBB">
              <w:rPr>
                <w:rFonts w:ascii="Century Gothic" w:hAnsi="Century Gothic"/>
              </w:rPr>
              <w:t>88</w:t>
            </w:r>
            <w:r w:rsidR="006C62D0">
              <w:rPr>
                <w:rFonts w:ascii="Century Gothic" w:hAnsi="Century Gothic"/>
              </w:rPr>
              <w:t>,</w:t>
            </w:r>
            <w:r>
              <w:rPr>
                <w:rFonts w:ascii="Century Gothic" w:hAnsi="Century Gothic"/>
              </w:rPr>
              <w:t>0</w:t>
            </w:r>
            <w:r w:rsidR="00A53DBB">
              <w:rPr>
                <w:rFonts w:ascii="Century Gothic" w:hAnsi="Century Gothic"/>
              </w:rPr>
              <w:t>2</w:t>
            </w:r>
            <w:r w:rsidR="006C62D0">
              <w:rPr>
                <w:rFonts w:ascii="Century Gothic" w:hAnsi="Century Gothic"/>
              </w:rPr>
              <w:t>9.41</w:t>
            </w:r>
          </w:p>
        </w:tc>
      </w:tr>
      <w:tr w:rsidR="00A1017C" w:rsidRPr="00C016DD" w:rsidTr="00A1017C">
        <w:tc>
          <w:tcPr>
            <w:tcW w:w="5495" w:type="dxa"/>
          </w:tcPr>
          <w:p w:rsidR="00A1017C" w:rsidRPr="00C016DD" w:rsidRDefault="00A1017C" w:rsidP="00A1017C">
            <w:pPr>
              <w:tabs>
                <w:tab w:val="left" w:pos="426"/>
              </w:tabs>
              <w:jc w:val="both"/>
              <w:rPr>
                <w:rFonts w:ascii="Century Gothic" w:hAnsi="Century Gothic"/>
              </w:rPr>
            </w:pPr>
            <w:r w:rsidRPr="00C016DD">
              <w:rPr>
                <w:rFonts w:ascii="Century Gothic" w:hAnsi="Century Gothic"/>
              </w:rPr>
              <w:t>Presupuesto de Egresos Modificado</w:t>
            </w:r>
          </w:p>
        </w:tc>
        <w:tc>
          <w:tcPr>
            <w:tcW w:w="2126" w:type="dxa"/>
          </w:tcPr>
          <w:p w:rsidR="00A1017C" w:rsidRPr="00C016DD" w:rsidRDefault="00A1017C" w:rsidP="00A1017C">
            <w:pPr>
              <w:tabs>
                <w:tab w:val="left" w:pos="426"/>
              </w:tabs>
              <w:jc w:val="right"/>
              <w:rPr>
                <w:rFonts w:ascii="Century Gothic" w:hAnsi="Century Gothic"/>
              </w:rPr>
            </w:pPr>
            <w:r w:rsidRPr="00C016DD">
              <w:rPr>
                <w:rFonts w:ascii="Century Gothic" w:hAnsi="Century Gothic"/>
              </w:rPr>
              <w:t>0.00</w:t>
            </w:r>
          </w:p>
        </w:tc>
      </w:tr>
      <w:tr w:rsidR="00A1017C" w:rsidRPr="00C016DD" w:rsidTr="00A1017C">
        <w:tc>
          <w:tcPr>
            <w:tcW w:w="5495" w:type="dxa"/>
          </w:tcPr>
          <w:p w:rsidR="00A1017C" w:rsidRPr="00C016DD" w:rsidRDefault="00A1017C" w:rsidP="00A1017C">
            <w:pPr>
              <w:tabs>
                <w:tab w:val="left" w:pos="426"/>
              </w:tabs>
              <w:jc w:val="both"/>
              <w:rPr>
                <w:rFonts w:ascii="Century Gothic" w:hAnsi="Century Gothic"/>
              </w:rPr>
            </w:pPr>
            <w:r w:rsidRPr="00C016DD">
              <w:rPr>
                <w:rFonts w:ascii="Century Gothic" w:hAnsi="Century Gothic"/>
              </w:rPr>
              <w:t>Presupuesto de Egresos Comprometido</w:t>
            </w:r>
          </w:p>
        </w:tc>
        <w:tc>
          <w:tcPr>
            <w:tcW w:w="2126" w:type="dxa"/>
          </w:tcPr>
          <w:p w:rsidR="00A1017C" w:rsidRPr="00C016DD" w:rsidRDefault="00E64298" w:rsidP="00E64298">
            <w:pPr>
              <w:tabs>
                <w:tab w:val="left" w:pos="426"/>
              </w:tabs>
              <w:jc w:val="right"/>
              <w:rPr>
                <w:rFonts w:ascii="Century Gothic" w:hAnsi="Century Gothic"/>
              </w:rPr>
            </w:pPr>
            <w:r>
              <w:rPr>
                <w:rFonts w:ascii="Century Gothic" w:hAnsi="Century Gothic"/>
              </w:rPr>
              <w:t>1’868</w:t>
            </w:r>
            <w:r w:rsidR="006318DA">
              <w:rPr>
                <w:rFonts w:ascii="Century Gothic" w:hAnsi="Century Gothic"/>
              </w:rPr>
              <w:t>,</w:t>
            </w:r>
            <w:r>
              <w:rPr>
                <w:rFonts w:ascii="Century Gothic" w:hAnsi="Century Gothic"/>
              </w:rPr>
              <w:t>998</w:t>
            </w:r>
            <w:r w:rsidR="006318DA">
              <w:rPr>
                <w:rFonts w:ascii="Century Gothic" w:hAnsi="Century Gothic"/>
              </w:rPr>
              <w:t>.96</w:t>
            </w:r>
          </w:p>
        </w:tc>
      </w:tr>
      <w:tr w:rsidR="00E64298" w:rsidRPr="00C016DD" w:rsidTr="00A1017C">
        <w:tc>
          <w:tcPr>
            <w:tcW w:w="5495" w:type="dxa"/>
          </w:tcPr>
          <w:p w:rsidR="00E64298" w:rsidRPr="00C016DD" w:rsidRDefault="00E64298" w:rsidP="00E64298">
            <w:pPr>
              <w:tabs>
                <w:tab w:val="left" w:pos="426"/>
              </w:tabs>
              <w:jc w:val="both"/>
              <w:rPr>
                <w:rFonts w:ascii="Century Gothic" w:hAnsi="Century Gothic"/>
              </w:rPr>
            </w:pPr>
            <w:r w:rsidRPr="00C016DD">
              <w:rPr>
                <w:rFonts w:ascii="Century Gothic" w:hAnsi="Century Gothic"/>
              </w:rPr>
              <w:t>Presupuesto de Egresos Devengado</w:t>
            </w:r>
          </w:p>
        </w:tc>
        <w:tc>
          <w:tcPr>
            <w:tcW w:w="2126" w:type="dxa"/>
          </w:tcPr>
          <w:p w:rsidR="00E64298" w:rsidRPr="00C016DD" w:rsidRDefault="00E64298" w:rsidP="00E64298">
            <w:pPr>
              <w:tabs>
                <w:tab w:val="left" w:pos="426"/>
              </w:tabs>
              <w:jc w:val="right"/>
              <w:rPr>
                <w:rFonts w:ascii="Century Gothic" w:hAnsi="Century Gothic"/>
              </w:rPr>
            </w:pPr>
            <w:r>
              <w:rPr>
                <w:rFonts w:ascii="Century Gothic" w:hAnsi="Century Gothic"/>
              </w:rPr>
              <w:t>1’868,998.96</w:t>
            </w:r>
          </w:p>
        </w:tc>
      </w:tr>
      <w:tr w:rsidR="00E64298" w:rsidRPr="00C016DD" w:rsidTr="00A1017C">
        <w:tc>
          <w:tcPr>
            <w:tcW w:w="5495" w:type="dxa"/>
          </w:tcPr>
          <w:p w:rsidR="00E64298" w:rsidRPr="00C016DD" w:rsidRDefault="00E64298" w:rsidP="00E64298">
            <w:pPr>
              <w:tabs>
                <w:tab w:val="left" w:pos="426"/>
              </w:tabs>
              <w:jc w:val="both"/>
              <w:rPr>
                <w:rFonts w:ascii="Century Gothic" w:hAnsi="Century Gothic"/>
              </w:rPr>
            </w:pPr>
            <w:r w:rsidRPr="00C016DD">
              <w:rPr>
                <w:rFonts w:ascii="Century Gothic" w:hAnsi="Century Gothic"/>
              </w:rPr>
              <w:t>Presupuesto de Egresos Ejercido</w:t>
            </w:r>
          </w:p>
        </w:tc>
        <w:tc>
          <w:tcPr>
            <w:tcW w:w="2126" w:type="dxa"/>
          </w:tcPr>
          <w:p w:rsidR="00E64298" w:rsidRPr="00C016DD" w:rsidRDefault="00E64298" w:rsidP="00E64298">
            <w:pPr>
              <w:tabs>
                <w:tab w:val="left" w:pos="426"/>
              </w:tabs>
              <w:jc w:val="right"/>
              <w:rPr>
                <w:rFonts w:ascii="Century Gothic" w:hAnsi="Century Gothic"/>
              </w:rPr>
            </w:pPr>
            <w:r>
              <w:rPr>
                <w:rFonts w:ascii="Century Gothic" w:hAnsi="Century Gothic"/>
              </w:rPr>
              <w:t>1’868,998.96</w:t>
            </w:r>
          </w:p>
        </w:tc>
      </w:tr>
      <w:tr w:rsidR="00E64298" w:rsidRPr="00C016DD" w:rsidTr="00A1017C">
        <w:tc>
          <w:tcPr>
            <w:tcW w:w="5495" w:type="dxa"/>
          </w:tcPr>
          <w:p w:rsidR="00E64298" w:rsidRPr="00C016DD" w:rsidRDefault="00E64298" w:rsidP="00E64298">
            <w:pPr>
              <w:tabs>
                <w:tab w:val="left" w:pos="426"/>
              </w:tabs>
              <w:jc w:val="both"/>
              <w:rPr>
                <w:rFonts w:ascii="Century Gothic" w:hAnsi="Century Gothic"/>
              </w:rPr>
            </w:pPr>
            <w:r w:rsidRPr="00C016DD">
              <w:rPr>
                <w:rFonts w:ascii="Century Gothic" w:hAnsi="Century Gothic"/>
              </w:rPr>
              <w:t>Presupuesto de Egresos Pagado</w:t>
            </w:r>
          </w:p>
        </w:tc>
        <w:tc>
          <w:tcPr>
            <w:tcW w:w="2126" w:type="dxa"/>
          </w:tcPr>
          <w:p w:rsidR="00E64298" w:rsidRPr="00C016DD" w:rsidRDefault="00E64298" w:rsidP="00E64298">
            <w:pPr>
              <w:tabs>
                <w:tab w:val="left" w:pos="426"/>
              </w:tabs>
              <w:jc w:val="right"/>
              <w:rPr>
                <w:rFonts w:ascii="Century Gothic" w:hAnsi="Century Gothic"/>
              </w:rPr>
            </w:pPr>
            <w:r>
              <w:rPr>
                <w:rFonts w:ascii="Century Gothic" w:hAnsi="Century Gothic"/>
              </w:rPr>
              <w:t>1’868,998.96</w:t>
            </w:r>
          </w:p>
        </w:tc>
      </w:tr>
    </w:tbl>
    <w:p w:rsidR="00F3012A" w:rsidRPr="00C016DD" w:rsidRDefault="00F3012A" w:rsidP="00836E22">
      <w:pPr>
        <w:tabs>
          <w:tab w:val="left" w:pos="426"/>
        </w:tabs>
        <w:jc w:val="both"/>
        <w:rPr>
          <w:rFonts w:ascii="Century Gothic" w:hAnsi="Century Gothic"/>
        </w:rPr>
      </w:pPr>
    </w:p>
    <w:p w:rsidR="00EE7D97" w:rsidRPr="00C016DD" w:rsidRDefault="00EE7D97" w:rsidP="00836E22">
      <w:pPr>
        <w:tabs>
          <w:tab w:val="left" w:pos="426"/>
        </w:tabs>
        <w:jc w:val="both"/>
        <w:rPr>
          <w:rFonts w:ascii="Century Gothic" w:hAnsi="Century Gothic"/>
        </w:rPr>
      </w:pPr>
    </w:p>
    <w:p w:rsidR="00A1017C" w:rsidRDefault="00A1017C" w:rsidP="00836E22">
      <w:pPr>
        <w:tabs>
          <w:tab w:val="left" w:pos="426"/>
        </w:tabs>
        <w:jc w:val="both"/>
        <w:rPr>
          <w:rFonts w:ascii="Century Gothic" w:hAnsi="Century Gothic"/>
        </w:rPr>
      </w:pPr>
    </w:p>
    <w:p w:rsidR="00A1017C" w:rsidRDefault="00A1017C" w:rsidP="00836E22">
      <w:pPr>
        <w:tabs>
          <w:tab w:val="left" w:pos="426"/>
        </w:tabs>
        <w:jc w:val="both"/>
        <w:rPr>
          <w:rFonts w:ascii="Century Gothic" w:hAnsi="Century Gothic"/>
        </w:rPr>
      </w:pPr>
    </w:p>
    <w:p w:rsidR="00631E9A" w:rsidRDefault="00631E9A" w:rsidP="00836E22">
      <w:pPr>
        <w:tabs>
          <w:tab w:val="left" w:pos="426"/>
        </w:tabs>
        <w:jc w:val="both"/>
        <w:rPr>
          <w:rFonts w:ascii="Century Gothic" w:hAnsi="Century Gothic"/>
        </w:rPr>
      </w:pPr>
    </w:p>
    <w:p w:rsidR="00EE7D97" w:rsidRPr="00C016DD" w:rsidRDefault="002B1503" w:rsidP="00836E22">
      <w:pPr>
        <w:tabs>
          <w:tab w:val="left" w:pos="426"/>
        </w:tabs>
        <w:jc w:val="both"/>
        <w:rPr>
          <w:rFonts w:ascii="Century Gothic" w:hAnsi="Century Gothic"/>
        </w:rPr>
      </w:pPr>
      <w:r w:rsidRPr="00C016DD">
        <w:rPr>
          <w:rFonts w:ascii="Century Gothic" w:hAnsi="Century Gothic"/>
        </w:rPr>
        <w:t>Los</w:t>
      </w:r>
      <w:r w:rsidR="00553764" w:rsidRPr="00C016DD">
        <w:rPr>
          <w:rFonts w:ascii="Century Gothic" w:hAnsi="Century Gothic"/>
        </w:rPr>
        <w:t xml:space="preserve"> Ingresos Estimad</w:t>
      </w:r>
      <w:r w:rsidRPr="00C016DD">
        <w:rPr>
          <w:rFonts w:ascii="Century Gothic" w:hAnsi="Century Gothic"/>
        </w:rPr>
        <w:t xml:space="preserve">os son producto de </w:t>
      </w:r>
      <w:r w:rsidR="007109A1">
        <w:rPr>
          <w:rFonts w:ascii="Century Gothic" w:hAnsi="Century Gothic"/>
        </w:rPr>
        <w:t>los rendimientos que se pretende obtener por el saldo en el contrato de cuenta bancaria</w:t>
      </w:r>
      <w:r w:rsidRPr="00C016DD">
        <w:rPr>
          <w:rFonts w:ascii="Century Gothic" w:hAnsi="Century Gothic"/>
        </w:rPr>
        <w:t xml:space="preserve"> </w:t>
      </w:r>
      <w:r w:rsidR="00553764" w:rsidRPr="00C016DD">
        <w:rPr>
          <w:rFonts w:ascii="Century Gothic" w:hAnsi="Century Gothic"/>
        </w:rPr>
        <w:t xml:space="preserve"> y el Presupuesto de Egresos para el ejercicio fiscal </w:t>
      </w:r>
      <w:r w:rsidR="00312AA2" w:rsidRPr="00C016DD">
        <w:rPr>
          <w:rFonts w:ascii="Century Gothic" w:hAnsi="Century Gothic"/>
        </w:rPr>
        <w:t>202</w:t>
      </w:r>
      <w:r w:rsidR="007109A1">
        <w:rPr>
          <w:rFonts w:ascii="Century Gothic" w:hAnsi="Century Gothic"/>
        </w:rPr>
        <w:t>1</w:t>
      </w:r>
      <w:r w:rsidR="00553764" w:rsidRPr="00C016DD">
        <w:rPr>
          <w:rFonts w:ascii="Century Gothic" w:hAnsi="Century Gothic"/>
        </w:rPr>
        <w:t xml:space="preserve"> asciende $</w:t>
      </w:r>
      <w:r w:rsidR="007109A1">
        <w:rPr>
          <w:rFonts w:ascii="Century Gothic" w:hAnsi="Century Gothic"/>
        </w:rPr>
        <w:t>17’647,748.37</w:t>
      </w:r>
      <w:r w:rsidR="00C73124" w:rsidRPr="00C016DD">
        <w:rPr>
          <w:rFonts w:ascii="Century Gothic" w:hAnsi="Century Gothic"/>
        </w:rPr>
        <w:t>.</w:t>
      </w:r>
    </w:p>
    <w:p w:rsidR="00553764" w:rsidRDefault="00553764" w:rsidP="00836E22">
      <w:pPr>
        <w:tabs>
          <w:tab w:val="left" w:pos="426"/>
        </w:tabs>
        <w:jc w:val="both"/>
        <w:rPr>
          <w:rFonts w:ascii="Century Gothic" w:hAnsi="Century Gothic"/>
        </w:rPr>
      </w:pPr>
      <w:r w:rsidRPr="00C016DD">
        <w:rPr>
          <w:rFonts w:ascii="Century Gothic" w:hAnsi="Century Gothic"/>
        </w:rPr>
        <w:t xml:space="preserve">Mismos que serán cubiertos con </w:t>
      </w:r>
      <w:r w:rsidR="002B1503" w:rsidRPr="00C016DD">
        <w:rPr>
          <w:rFonts w:ascii="Century Gothic" w:hAnsi="Century Gothic"/>
        </w:rPr>
        <w:t>saldos</w:t>
      </w:r>
      <w:r w:rsidRPr="00C016DD">
        <w:rPr>
          <w:rFonts w:ascii="Century Gothic" w:hAnsi="Century Gothic"/>
        </w:rPr>
        <w:t xml:space="preserve"> de ejercicios fiscales anteriores y</w:t>
      </w:r>
      <w:r w:rsidR="002A43F8" w:rsidRPr="00C016DD">
        <w:rPr>
          <w:rFonts w:ascii="Century Gothic" w:hAnsi="Century Gothic"/>
        </w:rPr>
        <w:t xml:space="preserve"> l</w:t>
      </w:r>
      <w:r w:rsidRPr="00C016DD">
        <w:rPr>
          <w:rFonts w:ascii="Century Gothic" w:hAnsi="Century Gothic"/>
        </w:rPr>
        <w:t xml:space="preserve">a </w:t>
      </w:r>
      <w:r w:rsidR="002A43F8" w:rsidRPr="00C016DD">
        <w:rPr>
          <w:rFonts w:ascii="Century Gothic" w:hAnsi="Century Gothic"/>
        </w:rPr>
        <w:t xml:space="preserve">recuperación de anticipos de obras por los finiquitos de obras y </w:t>
      </w:r>
      <w:r w:rsidR="00BC63CC">
        <w:rPr>
          <w:rFonts w:ascii="Century Gothic" w:hAnsi="Century Gothic"/>
        </w:rPr>
        <w:t>terminaciones</w:t>
      </w:r>
      <w:r w:rsidR="002A43F8" w:rsidRPr="00C016DD">
        <w:rPr>
          <w:rFonts w:ascii="Century Gothic" w:hAnsi="Century Gothic"/>
        </w:rPr>
        <w:t xml:space="preserve"> anticipadas de contratos de obra, ya que no </w:t>
      </w:r>
      <w:r w:rsidRPr="00C016DD">
        <w:rPr>
          <w:rFonts w:ascii="Century Gothic" w:hAnsi="Century Gothic"/>
        </w:rPr>
        <w:t xml:space="preserve">se prevé que se cuente con </w:t>
      </w:r>
      <w:r w:rsidRPr="00C016DD">
        <w:rPr>
          <w:rFonts w:ascii="Century Gothic" w:hAnsi="Century Gothic"/>
        </w:rPr>
        <w:lastRenderedPageBreak/>
        <w:t>aportaciones por parte de los Fideicomitentes</w:t>
      </w:r>
      <w:r w:rsidR="002B1503" w:rsidRPr="00C016DD">
        <w:rPr>
          <w:rFonts w:ascii="Century Gothic" w:hAnsi="Century Gothic"/>
        </w:rPr>
        <w:t xml:space="preserve"> y Fideicomisarios</w:t>
      </w:r>
      <w:r w:rsidRPr="00C016DD">
        <w:rPr>
          <w:rFonts w:ascii="Century Gothic" w:hAnsi="Century Gothic"/>
        </w:rPr>
        <w:t xml:space="preserve"> en Primer y Segundo Lugar respectivamente.</w:t>
      </w:r>
    </w:p>
    <w:p w:rsidR="002A0B1E" w:rsidRPr="00C016DD" w:rsidRDefault="002A0B1E" w:rsidP="00836E22">
      <w:pPr>
        <w:tabs>
          <w:tab w:val="left" w:pos="426"/>
        </w:tabs>
        <w:jc w:val="both"/>
        <w:rPr>
          <w:rFonts w:ascii="Century Gothic" w:hAnsi="Century Gothic"/>
        </w:rPr>
      </w:pPr>
      <w:r>
        <w:rPr>
          <w:rFonts w:ascii="Century Gothic" w:hAnsi="Century Gothic"/>
        </w:rPr>
        <w:t>Se realiza una ampliación presupuestal de $</w:t>
      </w:r>
      <w:r w:rsidR="006318DA">
        <w:rPr>
          <w:rFonts w:ascii="Century Gothic" w:hAnsi="Century Gothic"/>
        </w:rPr>
        <w:t>584,935.00</w:t>
      </w:r>
      <w:r>
        <w:rPr>
          <w:rFonts w:ascii="Century Gothic" w:hAnsi="Century Gothic"/>
        </w:rPr>
        <w:t xml:space="preserve"> (</w:t>
      </w:r>
      <w:r w:rsidR="006318DA">
        <w:rPr>
          <w:rFonts w:ascii="Century Gothic" w:hAnsi="Century Gothic"/>
        </w:rPr>
        <w:t>Quinientos ochenta y cuatro mil novecientos treinta y cinco</w:t>
      </w:r>
      <w:r>
        <w:rPr>
          <w:rFonts w:ascii="Century Gothic" w:hAnsi="Century Gothic"/>
        </w:rPr>
        <w:t xml:space="preserve"> pesos 00/100 M.N.), en rubro de ingresos por haber recibido una cantidad mayor a la estimada en el rubro de intereses ganados.</w:t>
      </w:r>
    </w:p>
    <w:p w:rsidR="00B01C2E" w:rsidRDefault="00B01C2E" w:rsidP="00836E22">
      <w:pPr>
        <w:tabs>
          <w:tab w:val="left" w:pos="426"/>
        </w:tabs>
        <w:jc w:val="both"/>
        <w:rPr>
          <w:rFonts w:ascii="Century Gothic" w:hAnsi="Century Gothic"/>
        </w:rPr>
      </w:pPr>
    </w:p>
    <w:p w:rsidR="00C72940" w:rsidRPr="00C016DD" w:rsidRDefault="00C72940" w:rsidP="00836E22">
      <w:pPr>
        <w:tabs>
          <w:tab w:val="left" w:pos="426"/>
        </w:tabs>
        <w:jc w:val="both"/>
        <w:rPr>
          <w:rFonts w:ascii="Century Gothic" w:hAnsi="Century Gothic"/>
        </w:rPr>
      </w:pPr>
    </w:p>
    <w:p w:rsidR="00553764" w:rsidRPr="00C016DD" w:rsidRDefault="00553764" w:rsidP="00553764">
      <w:pPr>
        <w:tabs>
          <w:tab w:val="left" w:pos="426"/>
        </w:tabs>
        <w:jc w:val="both"/>
        <w:rPr>
          <w:rFonts w:ascii="Century Gothic" w:hAnsi="Century Gothic"/>
          <w:b/>
        </w:rPr>
      </w:pPr>
      <w:r w:rsidRPr="00C016DD">
        <w:rPr>
          <w:rFonts w:ascii="Century Gothic" w:hAnsi="Century Gothic"/>
          <w:b/>
        </w:rPr>
        <w:t>C.</w:t>
      </w:r>
      <w:r w:rsidRPr="00C016DD">
        <w:rPr>
          <w:rFonts w:ascii="Century Gothic" w:hAnsi="Century Gothic"/>
          <w:b/>
        </w:rPr>
        <w:tab/>
        <w:t>NOTAS DE GESTIÓN ADMINISTRATIVA</w:t>
      </w:r>
    </w:p>
    <w:p w:rsidR="002A43F8" w:rsidRPr="00C016DD" w:rsidRDefault="00553764" w:rsidP="00553764">
      <w:pPr>
        <w:tabs>
          <w:tab w:val="left" w:pos="426"/>
        </w:tabs>
        <w:jc w:val="both"/>
        <w:rPr>
          <w:rFonts w:ascii="Century Gothic" w:hAnsi="Century Gothic"/>
        </w:rPr>
      </w:pPr>
      <w:r w:rsidRPr="00C016DD">
        <w:rPr>
          <w:rFonts w:ascii="Century Gothic" w:hAnsi="Century Gothic"/>
        </w:rPr>
        <w:tab/>
      </w:r>
    </w:p>
    <w:p w:rsidR="00553764" w:rsidRPr="00C016DD" w:rsidRDefault="00553764" w:rsidP="00553764">
      <w:pPr>
        <w:pStyle w:val="Prrafodelista"/>
        <w:numPr>
          <w:ilvl w:val="0"/>
          <w:numId w:val="4"/>
        </w:numPr>
        <w:tabs>
          <w:tab w:val="left" w:pos="426"/>
        </w:tabs>
        <w:jc w:val="both"/>
        <w:rPr>
          <w:rFonts w:ascii="Century Gothic" w:hAnsi="Century Gothic"/>
          <w:b/>
        </w:rPr>
      </w:pPr>
      <w:r w:rsidRPr="00C016DD">
        <w:rPr>
          <w:rFonts w:ascii="Century Gothic" w:hAnsi="Century Gothic"/>
          <w:b/>
        </w:rPr>
        <w:t>Introducción</w:t>
      </w:r>
    </w:p>
    <w:p w:rsidR="00553764" w:rsidRPr="00C016DD" w:rsidRDefault="00553764" w:rsidP="00553764">
      <w:pPr>
        <w:tabs>
          <w:tab w:val="left" w:pos="426"/>
        </w:tabs>
        <w:jc w:val="both"/>
        <w:rPr>
          <w:rFonts w:ascii="Century Gothic" w:hAnsi="Century Gothic"/>
        </w:rPr>
      </w:pPr>
      <w:r w:rsidRPr="00C016DD">
        <w:rPr>
          <w:rFonts w:ascii="Century Gothic" w:hAnsi="Century Gothic"/>
        </w:rPr>
        <w:t>Los Estados Financieros</w:t>
      </w:r>
      <w:r w:rsidR="00B87F74" w:rsidRPr="00C016DD">
        <w:rPr>
          <w:rFonts w:ascii="Century Gothic" w:hAnsi="Century Gothic"/>
        </w:rPr>
        <w:t xml:space="preserve"> del Fideicomiso Teatro Mariano Matamoros, proveen de información a la misma, al Comité Técnico y Órganos de Control Estatal.</w:t>
      </w:r>
    </w:p>
    <w:p w:rsidR="00B87F74" w:rsidRPr="00C016DD" w:rsidRDefault="00B87F74" w:rsidP="00553764">
      <w:pPr>
        <w:tabs>
          <w:tab w:val="left" w:pos="426"/>
        </w:tabs>
        <w:jc w:val="both"/>
        <w:rPr>
          <w:rFonts w:ascii="Century Gothic" w:hAnsi="Century Gothic"/>
        </w:rPr>
      </w:pPr>
      <w:r w:rsidRPr="00C016DD">
        <w:rPr>
          <w:rFonts w:ascii="Century Gothic" w:hAnsi="Century Gothic"/>
        </w:rPr>
        <w:t xml:space="preserve">El objetivo del presente documento es la revelación del contexto y de los aspectos económico-financieros más relevantes que influyen en las decisiones del periodo, y que deberán ser considerados para </w:t>
      </w:r>
      <w:r w:rsidR="003711CF" w:rsidRPr="00C016DD">
        <w:rPr>
          <w:rFonts w:ascii="Century Gothic" w:hAnsi="Century Gothic"/>
        </w:rPr>
        <w:t>una mej</w:t>
      </w:r>
      <w:r w:rsidR="00F96AD7" w:rsidRPr="00C016DD">
        <w:rPr>
          <w:rFonts w:ascii="Century Gothic" w:hAnsi="Century Gothic"/>
        </w:rPr>
        <w:t>o</w:t>
      </w:r>
      <w:r w:rsidRPr="00C016DD">
        <w:rPr>
          <w:rFonts w:ascii="Century Gothic" w:hAnsi="Century Gothic"/>
        </w:rPr>
        <w:t>r comprensión de los mismos y sus particulares.</w:t>
      </w:r>
    </w:p>
    <w:p w:rsidR="002A43F8" w:rsidRPr="00C016DD" w:rsidRDefault="002A43F8" w:rsidP="00553764">
      <w:pPr>
        <w:tabs>
          <w:tab w:val="left" w:pos="426"/>
        </w:tabs>
        <w:jc w:val="both"/>
        <w:rPr>
          <w:rFonts w:ascii="Century Gothic" w:hAnsi="Century Gothic"/>
        </w:rPr>
      </w:pPr>
    </w:p>
    <w:p w:rsidR="00950583" w:rsidRPr="00C016DD" w:rsidRDefault="00950583" w:rsidP="00950583">
      <w:pPr>
        <w:pStyle w:val="Prrafodelista"/>
        <w:numPr>
          <w:ilvl w:val="0"/>
          <w:numId w:val="4"/>
        </w:numPr>
        <w:tabs>
          <w:tab w:val="left" w:pos="426"/>
        </w:tabs>
        <w:jc w:val="both"/>
        <w:rPr>
          <w:rFonts w:ascii="Century Gothic" w:hAnsi="Century Gothic"/>
          <w:b/>
        </w:rPr>
      </w:pPr>
      <w:r w:rsidRPr="00C016DD">
        <w:rPr>
          <w:rFonts w:ascii="Century Gothic" w:hAnsi="Century Gothic"/>
          <w:b/>
        </w:rPr>
        <w:t>Panorama Económico y Financiero</w:t>
      </w:r>
    </w:p>
    <w:p w:rsidR="00C87E1B" w:rsidRPr="00C016DD" w:rsidRDefault="00C87E1B" w:rsidP="00C87E1B">
      <w:pPr>
        <w:pStyle w:val="Prrafodelista"/>
        <w:tabs>
          <w:tab w:val="left" w:pos="426"/>
        </w:tabs>
        <w:ind w:left="780"/>
        <w:jc w:val="both"/>
        <w:rPr>
          <w:rFonts w:ascii="Century Gothic" w:hAnsi="Century Gothic"/>
          <w:b/>
        </w:rPr>
      </w:pPr>
    </w:p>
    <w:p w:rsidR="00950583" w:rsidRPr="00C016DD" w:rsidRDefault="00950583" w:rsidP="00950583">
      <w:pPr>
        <w:tabs>
          <w:tab w:val="left" w:pos="426"/>
        </w:tabs>
        <w:jc w:val="both"/>
        <w:rPr>
          <w:rFonts w:ascii="Century Gothic" w:hAnsi="Century Gothic"/>
        </w:rPr>
      </w:pPr>
      <w:r w:rsidRPr="00C016DD">
        <w:rPr>
          <w:rFonts w:ascii="Century Gothic" w:hAnsi="Century Gothic"/>
        </w:rPr>
        <w:t xml:space="preserve">Principales condiciones económico-financieras </w:t>
      </w:r>
      <w:r w:rsidR="005454D2" w:rsidRPr="00C016DD">
        <w:rPr>
          <w:rFonts w:ascii="Century Gothic" w:hAnsi="Century Gothic"/>
        </w:rPr>
        <w:t>del Fideicomiso Teatro Mariano M</w:t>
      </w:r>
      <w:r w:rsidRPr="00C016DD">
        <w:rPr>
          <w:rFonts w:ascii="Century Gothic" w:hAnsi="Century Gothic"/>
        </w:rPr>
        <w:t>atamoros está constituido por:</w:t>
      </w:r>
    </w:p>
    <w:p w:rsidR="00950583" w:rsidRPr="00C016DD" w:rsidRDefault="00950583" w:rsidP="00950583">
      <w:pPr>
        <w:pStyle w:val="Prrafodelista"/>
        <w:numPr>
          <w:ilvl w:val="0"/>
          <w:numId w:val="5"/>
        </w:numPr>
        <w:tabs>
          <w:tab w:val="left" w:pos="426"/>
        </w:tabs>
        <w:jc w:val="both"/>
        <w:rPr>
          <w:rFonts w:ascii="Century Gothic" w:hAnsi="Century Gothic"/>
        </w:rPr>
      </w:pPr>
      <w:r w:rsidRPr="00C016DD">
        <w:rPr>
          <w:rFonts w:ascii="Century Gothic" w:hAnsi="Century Gothic"/>
        </w:rPr>
        <w:t>El Fideicomiso opera con recursos re</w:t>
      </w:r>
      <w:r w:rsidR="00F13818" w:rsidRPr="00C016DD">
        <w:rPr>
          <w:rFonts w:ascii="Century Gothic" w:hAnsi="Century Gothic"/>
        </w:rPr>
        <w:t xml:space="preserve">validados </w:t>
      </w:r>
      <w:r w:rsidRPr="00C016DD">
        <w:rPr>
          <w:rFonts w:ascii="Century Gothic" w:hAnsi="Century Gothic"/>
        </w:rPr>
        <w:t>de ejercicios anteriores.</w:t>
      </w:r>
    </w:p>
    <w:p w:rsidR="00950583" w:rsidRPr="00C016DD" w:rsidRDefault="00950583" w:rsidP="00950583">
      <w:pPr>
        <w:pStyle w:val="Prrafodelista"/>
        <w:numPr>
          <w:ilvl w:val="0"/>
          <w:numId w:val="5"/>
        </w:numPr>
        <w:tabs>
          <w:tab w:val="left" w:pos="426"/>
        </w:tabs>
        <w:jc w:val="both"/>
        <w:rPr>
          <w:rFonts w:ascii="Century Gothic" w:hAnsi="Century Gothic"/>
        </w:rPr>
      </w:pPr>
      <w:r w:rsidRPr="00C016DD">
        <w:rPr>
          <w:rFonts w:ascii="Century Gothic" w:hAnsi="Century Gothic"/>
        </w:rPr>
        <w:t>Las aportaciones de los Fideicomitentes y Fideicomisarios</w:t>
      </w:r>
      <w:r w:rsidR="00F13818" w:rsidRPr="00C016DD">
        <w:rPr>
          <w:rFonts w:ascii="Century Gothic" w:hAnsi="Century Gothic"/>
        </w:rPr>
        <w:t xml:space="preserve"> en Primer y Segundo Lugar</w:t>
      </w:r>
      <w:r w:rsidRPr="00C016DD">
        <w:rPr>
          <w:rFonts w:ascii="Century Gothic" w:hAnsi="Century Gothic"/>
        </w:rPr>
        <w:t>.</w:t>
      </w:r>
      <w:r w:rsidR="00F13818" w:rsidRPr="00C016DD">
        <w:rPr>
          <w:rFonts w:ascii="Century Gothic" w:hAnsi="Century Gothic"/>
        </w:rPr>
        <w:t xml:space="preserve"> </w:t>
      </w:r>
    </w:p>
    <w:p w:rsidR="002A43F8" w:rsidRDefault="002A43F8" w:rsidP="002A43F8">
      <w:pPr>
        <w:pStyle w:val="Prrafodelista"/>
        <w:tabs>
          <w:tab w:val="left" w:pos="426"/>
        </w:tabs>
        <w:ind w:left="780"/>
        <w:jc w:val="both"/>
        <w:rPr>
          <w:rFonts w:ascii="Century Gothic" w:hAnsi="Century Gothic"/>
        </w:rPr>
      </w:pPr>
    </w:p>
    <w:p w:rsidR="00384F9B" w:rsidRDefault="00384F9B" w:rsidP="002A43F8">
      <w:pPr>
        <w:pStyle w:val="Prrafodelista"/>
        <w:tabs>
          <w:tab w:val="left" w:pos="426"/>
        </w:tabs>
        <w:ind w:left="780"/>
        <w:jc w:val="both"/>
        <w:rPr>
          <w:rFonts w:ascii="Century Gothic" w:hAnsi="Century Gothic"/>
        </w:rPr>
      </w:pPr>
    </w:p>
    <w:p w:rsidR="00384F9B" w:rsidRDefault="00384F9B" w:rsidP="002A43F8">
      <w:pPr>
        <w:pStyle w:val="Prrafodelista"/>
        <w:tabs>
          <w:tab w:val="left" w:pos="426"/>
        </w:tabs>
        <w:ind w:left="780"/>
        <w:jc w:val="both"/>
        <w:rPr>
          <w:rFonts w:ascii="Century Gothic" w:hAnsi="Century Gothic"/>
        </w:rPr>
      </w:pPr>
    </w:p>
    <w:p w:rsidR="00354815" w:rsidRDefault="00354815" w:rsidP="002A43F8">
      <w:pPr>
        <w:pStyle w:val="Prrafodelista"/>
        <w:tabs>
          <w:tab w:val="left" w:pos="426"/>
        </w:tabs>
        <w:ind w:left="780"/>
        <w:jc w:val="both"/>
        <w:rPr>
          <w:rFonts w:ascii="Century Gothic" w:hAnsi="Century Gothic"/>
        </w:rPr>
      </w:pPr>
    </w:p>
    <w:p w:rsidR="00950583" w:rsidRPr="00C016DD" w:rsidRDefault="00950583" w:rsidP="00950583">
      <w:pPr>
        <w:pStyle w:val="Prrafodelista"/>
        <w:numPr>
          <w:ilvl w:val="0"/>
          <w:numId w:val="4"/>
        </w:numPr>
        <w:tabs>
          <w:tab w:val="left" w:pos="426"/>
        </w:tabs>
        <w:jc w:val="both"/>
        <w:rPr>
          <w:rFonts w:ascii="Century Gothic" w:hAnsi="Century Gothic"/>
          <w:b/>
        </w:rPr>
      </w:pPr>
      <w:r w:rsidRPr="00C016DD">
        <w:rPr>
          <w:rFonts w:ascii="Century Gothic" w:hAnsi="Century Gothic"/>
          <w:b/>
        </w:rPr>
        <w:t>Autorización e Historia</w:t>
      </w:r>
    </w:p>
    <w:p w:rsidR="00C87E1B" w:rsidRPr="00C016DD" w:rsidRDefault="00C87E1B" w:rsidP="00C87E1B">
      <w:pPr>
        <w:pStyle w:val="Prrafodelista"/>
        <w:tabs>
          <w:tab w:val="left" w:pos="426"/>
        </w:tabs>
        <w:ind w:left="780"/>
        <w:jc w:val="both"/>
        <w:rPr>
          <w:rFonts w:ascii="Century Gothic" w:hAnsi="Century Gothic"/>
          <w:b/>
        </w:rPr>
      </w:pPr>
    </w:p>
    <w:p w:rsidR="000F0255" w:rsidRDefault="000F0255" w:rsidP="000F0255">
      <w:pPr>
        <w:tabs>
          <w:tab w:val="left" w:pos="426"/>
        </w:tabs>
        <w:jc w:val="both"/>
        <w:rPr>
          <w:rFonts w:ascii="Century Gothic" w:hAnsi="Century Gothic"/>
        </w:rPr>
      </w:pPr>
      <w:r w:rsidRPr="00C016DD">
        <w:rPr>
          <w:rFonts w:ascii="Century Gothic" w:hAnsi="Century Gothic"/>
        </w:rPr>
        <w:t xml:space="preserve">El Fideicomiso </w:t>
      </w:r>
      <w:r w:rsidR="000B3348" w:rsidRPr="00C016DD">
        <w:rPr>
          <w:rFonts w:ascii="Century Gothic" w:hAnsi="Century Gothic"/>
        </w:rPr>
        <w:t>Teatro Mariano Matamoros</w:t>
      </w:r>
      <w:r w:rsidRPr="00C016DD">
        <w:rPr>
          <w:rFonts w:ascii="Century Gothic" w:hAnsi="Century Gothic"/>
        </w:rPr>
        <w:t>, es un Organismo Público Descentralizado del Gobierno del Estado, con personalidad jurídica y patrimonio propio, constituido mediante contrato de fideicomiso número 106769-7 y R.F.C. FTM0902233W5 asignado por la secretaría de Hacienda y Crédito Público.</w:t>
      </w:r>
    </w:p>
    <w:p w:rsidR="00B67A3F" w:rsidRPr="00C016DD" w:rsidRDefault="00B67A3F" w:rsidP="000F0255">
      <w:pPr>
        <w:tabs>
          <w:tab w:val="left" w:pos="426"/>
        </w:tabs>
        <w:jc w:val="both"/>
        <w:rPr>
          <w:rFonts w:ascii="Century Gothic" w:hAnsi="Century Gothic"/>
        </w:rPr>
      </w:pPr>
    </w:p>
    <w:p w:rsidR="000F0255" w:rsidRDefault="000F0255" w:rsidP="000F0255">
      <w:pPr>
        <w:pStyle w:val="Prrafodelista"/>
        <w:numPr>
          <w:ilvl w:val="0"/>
          <w:numId w:val="4"/>
        </w:numPr>
        <w:tabs>
          <w:tab w:val="left" w:pos="426"/>
        </w:tabs>
        <w:jc w:val="both"/>
        <w:rPr>
          <w:rFonts w:ascii="Century Gothic" w:hAnsi="Century Gothic"/>
          <w:b/>
        </w:rPr>
      </w:pPr>
      <w:r w:rsidRPr="00C016DD">
        <w:rPr>
          <w:rFonts w:ascii="Century Gothic" w:hAnsi="Century Gothic"/>
          <w:b/>
        </w:rPr>
        <w:t>Organización y Objeto Social</w:t>
      </w:r>
    </w:p>
    <w:p w:rsidR="00B67A3F" w:rsidRPr="00B67A3F" w:rsidRDefault="00B67A3F" w:rsidP="00B67A3F">
      <w:pPr>
        <w:tabs>
          <w:tab w:val="left" w:pos="426"/>
        </w:tabs>
        <w:ind w:left="420"/>
        <w:jc w:val="both"/>
        <w:rPr>
          <w:rFonts w:ascii="Century Gothic" w:hAnsi="Century Gothic"/>
          <w:b/>
        </w:rPr>
      </w:pPr>
    </w:p>
    <w:p w:rsidR="000F0255" w:rsidRPr="00C016DD" w:rsidRDefault="00B534DD" w:rsidP="000F0255">
      <w:pPr>
        <w:tabs>
          <w:tab w:val="left" w:pos="426"/>
        </w:tabs>
        <w:jc w:val="both"/>
        <w:rPr>
          <w:rFonts w:ascii="Century Gothic" w:hAnsi="Century Gothic"/>
        </w:rPr>
      </w:pPr>
      <w:r w:rsidRPr="00C016DD">
        <w:rPr>
          <w:rFonts w:ascii="Century Gothic" w:hAnsi="Century Gothic"/>
        </w:rPr>
        <w:t>Se tiene por objeto promover la cultura y las artes local, estatal, nacional e internacional, vincularse con los sectores públicos, privados y sociales para contribuir en el desarrollo</w:t>
      </w:r>
      <w:r w:rsidR="008B4E6A" w:rsidRPr="00C016DD">
        <w:rPr>
          <w:rFonts w:ascii="Century Gothic" w:hAnsi="Century Gothic"/>
        </w:rPr>
        <w:t xml:space="preserve"> social y cultural de la entidad.</w:t>
      </w:r>
    </w:p>
    <w:p w:rsidR="008B4E6A" w:rsidRPr="00C016DD" w:rsidRDefault="008B4E6A" w:rsidP="000F0255">
      <w:pPr>
        <w:tabs>
          <w:tab w:val="left" w:pos="426"/>
        </w:tabs>
        <w:jc w:val="both"/>
        <w:rPr>
          <w:rFonts w:ascii="Century Gothic" w:hAnsi="Century Gothic"/>
        </w:rPr>
      </w:pPr>
      <w:r w:rsidRPr="00C016DD">
        <w:rPr>
          <w:rFonts w:ascii="Century Gothic" w:hAnsi="Century Gothic"/>
        </w:rPr>
        <w:t>Para el cumplimento del objeto y funciones se cuenta con un Comité Técnico, Una Secretaría Técnica así como personal técnico, jurídico y administrativo.</w:t>
      </w:r>
    </w:p>
    <w:p w:rsidR="008B4E6A" w:rsidRPr="00C016DD" w:rsidRDefault="008B4E6A" w:rsidP="000F0255">
      <w:pPr>
        <w:tabs>
          <w:tab w:val="left" w:pos="426"/>
        </w:tabs>
        <w:jc w:val="both"/>
        <w:rPr>
          <w:rFonts w:ascii="Century Gothic" w:hAnsi="Century Gothic"/>
        </w:rPr>
      </w:pPr>
      <w:r w:rsidRPr="00C016DD">
        <w:rPr>
          <w:rFonts w:ascii="Century Gothic" w:hAnsi="Century Gothic"/>
        </w:rPr>
        <w:t xml:space="preserve">Las relaciones laborales del Fideicomiso </w:t>
      </w:r>
      <w:r w:rsidR="00F13818" w:rsidRPr="00C016DD">
        <w:rPr>
          <w:rFonts w:ascii="Century Gothic" w:hAnsi="Century Gothic"/>
        </w:rPr>
        <w:t>Teatro Mariano Matamoros</w:t>
      </w:r>
      <w:r w:rsidRPr="00C016DD">
        <w:rPr>
          <w:rFonts w:ascii="Century Gothic" w:hAnsi="Century Gothic"/>
        </w:rPr>
        <w:t>, son mediante contratos de prestación de servicios profesionales independientes por lo que no se tiene la obligación de cubrir prestaciones de seguridad social.</w:t>
      </w:r>
    </w:p>
    <w:p w:rsidR="008B4E6A" w:rsidRPr="00C016DD" w:rsidRDefault="008B4E6A" w:rsidP="000F0255">
      <w:pPr>
        <w:tabs>
          <w:tab w:val="left" w:pos="426"/>
        </w:tabs>
        <w:jc w:val="both"/>
        <w:rPr>
          <w:rFonts w:ascii="Century Gothic" w:hAnsi="Century Gothic"/>
        </w:rPr>
      </w:pPr>
      <w:r w:rsidRPr="00C016DD">
        <w:rPr>
          <w:rFonts w:ascii="Century Gothic" w:hAnsi="Century Gothic"/>
        </w:rPr>
        <w:t xml:space="preserve">Las obligaciones fiscales están a cargo de la institución fiduciaria misma que se encarga de hacer y enterar las retenciones de impuestos como lo son el I.S.R. e I.V.A. por los servicios profesionales independientes </w:t>
      </w:r>
      <w:r w:rsidR="00D05CF1" w:rsidRPr="00C016DD">
        <w:rPr>
          <w:rFonts w:ascii="Century Gothic" w:hAnsi="Century Gothic"/>
        </w:rPr>
        <w:t>contratados.</w:t>
      </w:r>
    </w:p>
    <w:p w:rsidR="00D05CF1" w:rsidRPr="00C016DD" w:rsidRDefault="00D05CF1" w:rsidP="000F0255">
      <w:pPr>
        <w:tabs>
          <w:tab w:val="left" w:pos="426"/>
        </w:tabs>
        <w:jc w:val="both"/>
        <w:rPr>
          <w:rFonts w:ascii="Century Gothic" w:hAnsi="Century Gothic"/>
        </w:rPr>
      </w:pPr>
    </w:p>
    <w:p w:rsidR="00D05CF1" w:rsidRPr="00C016DD" w:rsidRDefault="00D05CF1" w:rsidP="00D05CF1">
      <w:pPr>
        <w:pStyle w:val="Prrafodelista"/>
        <w:numPr>
          <w:ilvl w:val="0"/>
          <w:numId w:val="4"/>
        </w:numPr>
        <w:tabs>
          <w:tab w:val="left" w:pos="426"/>
        </w:tabs>
        <w:jc w:val="both"/>
        <w:rPr>
          <w:rFonts w:ascii="Century Gothic" w:hAnsi="Century Gothic"/>
          <w:b/>
        </w:rPr>
      </w:pPr>
      <w:r w:rsidRPr="00C016DD">
        <w:rPr>
          <w:rFonts w:ascii="Century Gothic" w:hAnsi="Century Gothic"/>
          <w:b/>
        </w:rPr>
        <w:t>Bases de preparación de los Estados Financieros</w:t>
      </w:r>
    </w:p>
    <w:p w:rsidR="00D05CF1" w:rsidRPr="00C016DD" w:rsidRDefault="00D05CF1" w:rsidP="00D05CF1">
      <w:pPr>
        <w:tabs>
          <w:tab w:val="left" w:pos="426"/>
        </w:tabs>
        <w:jc w:val="both"/>
        <w:rPr>
          <w:rFonts w:ascii="Century Gothic" w:hAnsi="Century Gothic"/>
          <w:b/>
        </w:rPr>
      </w:pPr>
    </w:p>
    <w:p w:rsidR="00D05CF1" w:rsidRPr="00C016DD" w:rsidRDefault="00D05CF1" w:rsidP="00D05CF1">
      <w:pPr>
        <w:tabs>
          <w:tab w:val="left" w:pos="426"/>
        </w:tabs>
        <w:jc w:val="both"/>
        <w:rPr>
          <w:rFonts w:ascii="Century Gothic" w:hAnsi="Century Gothic"/>
        </w:rPr>
      </w:pPr>
      <w:r w:rsidRPr="00C016DD">
        <w:rPr>
          <w:rFonts w:ascii="Century Gothic" w:hAnsi="Century Gothic"/>
        </w:rPr>
        <w:t xml:space="preserve">La información financiera emitida por el Fideicomiso </w:t>
      </w:r>
      <w:r w:rsidR="00F13818" w:rsidRPr="00C016DD">
        <w:rPr>
          <w:rFonts w:ascii="Century Gothic" w:hAnsi="Century Gothic"/>
        </w:rPr>
        <w:t>Teatro Mariano Matamoros</w:t>
      </w:r>
      <w:r w:rsidRPr="00C016DD">
        <w:rPr>
          <w:rFonts w:ascii="Century Gothic" w:hAnsi="Century Gothic"/>
        </w:rPr>
        <w:t xml:space="preserve"> está preparada en observancia a la normatividad establecida en la Ley General de Contabilidad Gubernamental, disposiciones del Consejo Nacional de Armonización Contable (CONAC) y los Postulados Básicos de Contabilidad Gubernamental.</w:t>
      </w:r>
    </w:p>
    <w:p w:rsidR="00C87E1B" w:rsidRPr="00C016DD" w:rsidRDefault="00C87E1B" w:rsidP="00D05CF1">
      <w:pPr>
        <w:tabs>
          <w:tab w:val="left" w:pos="426"/>
        </w:tabs>
        <w:jc w:val="both"/>
        <w:rPr>
          <w:rFonts w:ascii="Century Gothic" w:hAnsi="Century Gothic"/>
        </w:rPr>
      </w:pPr>
    </w:p>
    <w:p w:rsidR="00D05CF1" w:rsidRPr="00C016DD" w:rsidRDefault="00D05CF1" w:rsidP="00D05CF1">
      <w:pPr>
        <w:pStyle w:val="Prrafodelista"/>
        <w:numPr>
          <w:ilvl w:val="0"/>
          <w:numId w:val="4"/>
        </w:numPr>
        <w:tabs>
          <w:tab w:val="left" w:pos="426"/>
        </w:tabs>
        <w:jc w:val="both"/>
        <w:rPr>
          <w:rFonts w:ascii="Century Gothic" w:hAnsi="Century Gothic"/>
          <w:b/>
        </w:rPr>
      </w:pPr>
      <w:r w:rsidRPr="00C016DD">
        <w:rPr>
          <w:rFonts w:ascii="Century Gothic" w:hAnsi="Century Gothic"/>
          <w:b/>
        </w:rPr>
        <w:t>Políticas de Contabilidad Significativas</w:t>
      </w:r>
    </w:p>
    <w:p w:rsidR="00D05CF1" w:rsidRPr="00C016DD" w:rsidRDefault="00D05CF1" w:rsidP="00D05CF1">
      <w:pPr>
        <w:tabs>
          <w:tab w:val="left" w:pos="426"/>
        </w:tabs>
        <w:jc w:val="both"/>
        <w:rPr>
          <w:rFonts w:ascii="Century Gothic" w:hAnsi="Century Gothic"/>
        </w:rPr>
      </w:pPr>
      <w:r w:rsidRPr="00C016DD">
        <w:rPr>
          <w:rFonts w:ascii="Century Gothic" w:hAnsi="Century Gothic"/>
        </w:rPr>
        <w:t xml:space="preserve">Para el registro y control de las operaciones contables y presupuestales para el ejercicio fiscal </w:t>
      </w:r>
      <w:r w:rsidR="00312AA2" w:rsidRPr="00C016DD">
        <w:rPr>
          <w:rFonts w:ascii="Century Gothic" w:hAnsi="Century Gothic"/>
        </w:rPr>
        <w:t>202</w:t>
      </w:r>
      <w:r w:rsidR="00DE6620">
        <w:rPr>
          <w:rFonts w:ascii="Century Gothic" w:hAnsi="Century Gothic"/>
        </w:rPr>
        <w:t>1</w:t>
      </w:r>
      <w:r w:rsidRPr="00C016DD">
        <w:rPr>
          <w:rFonts w:ascii="Century Gothic" w:hAnsi="Century Gothic"/>
        </w:rPr>
        <w:t xml:space="preserve">, el Fideicomiso </w:t>
      </w:r>
      <w:r w:rsidR="00F13818" w:rsidRPr="00C016DD">
        <w:rPr>
          <w:rFonts w:ascii="Century Gothic" w:hAnsi="Century Gothic"/>
        </w:rPr>
        <w:t>Teatro Mariano Matamoros</w:t>
      </w:r>
      <w:r w:rsidRPr="00C016DD">
        <w:rPr>
          <w:rFonts w:ascii="Century Gothic" w:hAnsi="Century Gothic"/>
        </w:rPr>
        <w:t xml:space="preserve"> tiene implantado el Sistema Automatizado de Administración y Contabilidad Gubernamental </w:t>
      </w:r>
      <w:r w:rsidR="002703ED" w:rsidRPr="00C016DD">
        <w:rPr>
          <w:rFonts w:ascii="Century Gothic" w:hAnsi="Century Gothic"/>
        </w:rPr>
        <w:t xml:space="preserve">(SAACG.NET), </w:t>
      </w:r>
      <w:r w:rsidR="009B46B2">
        <w:rPr>
          <w:rFonts w:ascii="Century Gothic" w:hAnsi="Century Gothic"/>
        </w:rPr>
        <w:t>versión 2</w:t>
      </w:r>
      <w:r w:rsidR="002A43F8" w:rsidRPr="00C016DD">
        <w:rPr>
          <w:rFonts w:ascii="Century Gothic" w:hAnsi="Century Gothic"/>
        </w:rPr>
        <w:t>.</w:t>
      </w:r>
      <w:r w:rsidR="007109A1">
        <w:rPr>
          <w:rFonts w:ascii="Century Gothic" w:hAnsi="Century Gothic"/>
        </w:rPr>
        <w:t>1</w:t>
      </w:r>
      <w:r w:rsidRPr="00C016DD">
        <w:rPr>
          <w:rFonts w:ascii="Century Gothic" w:hAnsi="Century Gothic"/>
        </w:rPr>
        <w:t>.</w:t>
      </w:r>
      <w:r w:rsidR="00631E9A">
        <w:rPr>
          <w:rFonts w:ascii="Century Gothic" w:hAnsi="Century Gothic"/>
        </w:rPr>
        <w:t>1</w:t>
      </w:r>
      <w:r w:rsidRPr="00C016DD">
        <w:rPr>
          <w:rFonts w:ascii="Century Gothic" w:hAnsi="Century Gothic"/>
        </w:rPr>
        <w:t>.</w:t>
      </w:r>
      <w:r w:rsidR="00752986">
        <w:rPr>
          <w:rFonts w:ascii="Century Gothic" w:hAnsi="Century Gothic"/>
        </w:rPr>
        <w:t>0</w:t>
      </w:r>
      <w:r w:rsidR="002703ED" w:rsidRPr="00C016DD">
        <w:rPr>
          <w:rFonts w:ascii="Century Gothic" w:hAnsi="Century Gothic"/>
        </w:rPr>
        <w:t>, diseñado por e</w:t>
      </w:r>
      <w:r w:rsidR="008E1669" w:rsidRPr="00C016DD">
        <w:rPr>
          <w:rFonts w:ascii="Century Gothic" w:hAnsi="Century Gothic"/>
        </w:rPr>
        <w:t>l Instituto para el Desarrollo T</w:t>
      </w:r>
      <w:r w:rsidR="002703ED" w:rsidRPr="00C016DD">
        <w:rPr>
          <w:rFonts w:ascii="Century Gothic" w:hAnsi="Century Gothic"/>
        </w:rPr>
        <w:t>écnico de las Haciendas Públicas (INDETEC), el cual cuenta con las siguientes características:</w:t>
      </w:r>
    </w:p>
    <w:p w:rsidR="002703ED" w:rsidRPr="00C016DD" w:rsidRDefault="002703ED" w:rsidP="002703ED">
      <w:pPr>
        <w:pStyle w:val="Prrafodelista"/>
        <w:numPr>
          <w:ilvl w:val="0"/>
          <w:numId w:val="6"/>
        </w:numPr>
        <w:tabs>
          <w:tab w:val="left" w:pos="426"/>
        </w:tabs>
        <w:jc w:val="both"/>
        <w:rPr>
          <w:rFonts w:ascii="Century Gothic" w:hAnsi="Century Gothic"/>
        </w:rPr>
      </w:pPr>
      <w:r w:rsidRPr="00C016DD">
        <w:rPr>
          <w:rFonts w:ascii="Century Gothic" w:hAnsi="Century Gothic"/>
        </w:rPr>
        <w:t>Cumple con la normatividad emitida por el CONAC.</w:t>
      </w:r>
    </w:p>
    <w:p w:rsidR="002703ED" w:rsidRPr="00C016DD" w:rsidRDefault="002703ED" w:rsidP="002703ED">
      <w:pPr>
        <w:pStyle w:val="Prrafodelista"/>
        <w:numPr>
          <w:ilvl w:val="0"/>
          <w:numId w:val="6"/>
        </w:numPr>
        <w:tabs>
          <w:tab w:val="left" w:pos="426"/>
        </w:tabs>
        <w:jc w:val="both"/>
        <w:rPr>
          <w:rFonts w:ascii="Century Gothic" w:hAnsi="Century Gothic"/>
        </w:rPr>
      </w:pPr>
      <w:r w:rsidRPr="00C016DD">
        <w:rPr>
          <w:rFonts w:ascii="Century Gothic" w:hAnsi="Century Gothic"/>
        </w:rPr>
        <w:t>Integra el proceso administrativo los momentos contables del ingreso y el egreso aplicando un enfoque de gestión.</w:t>
      </w:r>
    </w:p>
    <w:p w:rsidR="002703ED" w:rsidRPr="00C016DD" w:rsidRDefault="002703ED" w:rsidP="002703ED">
      <w:pPr>
        <w:pStyle w:val="Prrafodelista"/>
        <w:numPr>
          <w:ilvl w:val="0"/>
          <w:numId w:val="6"/>
        </w:numPr>
        <w:tabs>
          <w:tab w:val="left" w:pos="426"/>
        </w:tabs>
        <w:jc w:val="both"/>
        <w:rPr>
          <w:rFonts w:ascii="Century Gothic" w:hAnsi="Century Gothic"/>
        </w:rPr>
      </w:pPr>
      <w:r w:rsidRPr="00C016DD">
        <w:rPr>
          <w:rFonts w:ascii="Century Gothic" w:hAnsi="Century Gothic"/>
        </w:rPr>
        <w:t>Integra un control presupuestario con sus clasificaciones correspondientes.</w:t>
      </w:r>
    </w:p>
    <w:p w:rsidR="002703ED" w:rsidRPr="00C016DD" w:rsidRDefault="002703ED" w:rsidP="002703ED">
      <w:pPr>
        <w:pStyle w:val="Prrafodelista"/>
        <w:numPr>
          <w:ilvl w:val="0"/>
          <w:numId w:val="6"/>
        </w:numPr>
        <w:tabs>
          <w:tab w:val="left" w:pos="426"/>
        </w:tabs>
        <w:jc w:val="both"/>
        <w:rPr>
          <w:rFonts w:ascii="Century Gothic" w:hAnsi="Century Gothic"/>
        </w:rPr>
      </w:pPr>
      <w:r w:rsidRPr="00C016DD">
        <w:rPr>
          <w:rFonts w:ascii="Century Gothic" w:hAnsi="Century Gothic"/>
        </w:rPr>
        <w:t>Módulo de ingresos simplificado.</w:t>
      </w:r>
    </w:p>
    <w:p w:rsidR="002703ED" w:rsidRPr="00C016DD" w:rsidRDefault="002703ED" w:rsidP="002703ED">
      <w:pPr>
        <w:pStyle w:val="Prrafodelista"/>
        <w:numPr>
          <w:ilvl w:val="0"/>
          <w:numId w:val="6"/>
        </w:numPr>
        <w:tabs>
          <w:tab w:val="left" w:pos="426"/>
        </w:tabs>
        <w:jc w:val="both"/>
        <w:rPr>
          <w:rFonts w:ascii="Century Gothic" w:hAnsi="Century Gothic"/>
        </w:rPr>
      </w:pPr>
      <w:r w:rsidRPr="00C016DD">
        <w:rPr>
          <w:rFonts w:ascii="Century Gothic" w:hAnsi="Century Gothic"/>
        </w:rPr>
        <w:lastRenderedPageBreak/>
        <w:t>Módulo  de adquisiciones/compras.</w:t>
      </w:r>
    </w:p>
    <w:p w:rsidR="002703ED" w:rsidRPr="00C016DD" w:rsidRDefault="002703ED" w:rsidP="002703ED">
      <w:pPr>
        <w:pStyle w:val="Prrafodelista"/>
        <w:numPr>
          <w:ilvl w:val="0"/>
          <w:numId w:val="6"/>
        </w:numPr>
        <w:tabs>
          <w:tab w:val="left" w:pos="426"/>
        </w:tabs>
        <w:jc w:val="both"/>
        <w:rPr>
          <w:rFonts w:ascii="Century Gothic" w:hAnsi="Century Gothic"/>
        </w:rPr>
      </w:pPr>
      <w:r w:rsidRPr="00C016DD">
        <w:rPr>
          <w:rFonts w:ascii="Century Gothic" w:hAnsi="Century Gothic"/>
        </w:rPr>
        <w:t>Módulo de egresos/pagos.</w:t>
      </w:r>
    </w:p>
    <w:p w:rsidR="002703ED" w:rsidRPr="00C016DD" w:rsidRDefault="002703ED" w:rsidP="002703ED">
      <w:pPr>
        <w:pStyle w:val="Prrafodelista"/>
        <w:numPr>
          <w:ilvl w:val="0"/>
          <w:numId w:val="6"/>
        </w:numPr>
        <w:tabs>
          <w:tab w:val="left" w:pos="426"/>
        </w:tabs>
        <w:jc w:val="both"/>
        <w:rPr>
          <w:rFonts w:ascii="Century Gothic" w:hAnsi="Century Gothic"/>
        </w:rPr>
      </w:pPr>
      <w:r w:rsidRPr="00C016DD">
        <w:rPr>
          <w:rFonts w:ascii="Century Gothic" w:hAnsi="Century Gothic"/>
        </w:rPr>
        <w:t>Módulo de seguridad para control de usuarios.</w:t>
      </w:r>
    </w:p>
    <w:p w:rsidR="002703ED" w:rsidRPr="00C016DD" w:rsidRDefault="002703ED" w:rsidP="002703ED">
      <w:pPr>
        <w:pStyle w:val="Prrafodelista"/>
        <w:numPr>
          <w:ilvl w:val="0"/>
          <w:numId w:val="6"/>
        </w:numPr>
        <w:tabs>
          <w:tab w:val="left" w:pos="426"/>
        </w:tabs>
        <w:jc w:val="both"/>
        <w:rPr>
          <w:rFonts w:ascii="Century Gothic" w:hAnsi="Century Gothic"/>
        </w:rPr>
      </w:pPr>
      <w:r w:rsidRPr="00C016DD">
        <w:rPr>
          <w:rFonts w:ascii="Century Gothic" w:hAnsi="Century Gothic"/>
        </w:rPr>
        <w:t>Módulo de reportes.</w:t>
      </w:r>
    </w:p>
    <w:p w:rsidR="009E7424" w:rsidRPr="00C016DD" w:rsidRDefault="009E7424" w:rsidP="009E7424">
      <w:pPr>
        <w:tabs>
          <w:tab w:val="left" w:pos="426"/>
        </w:tabs>
        <w:jc w:val="both"/>
        <w:rPr>
          <w:rFonts w:ascii="Century Gothic" w:hAnsi="Century Gothic"/>
        </w:rPr>
      </w:pPr>
    </w:p>
    <w:p w:rsidR="009C7681" w:rsidRPr="00C016DD" w:rsidRDefault="009C7681" w:rsidP="009E7424">
      <w:pPr>
        <w:tabs>
          <w:tab w:val="left" w:pos="426"/>
        </w:tabs>
        <w:jc w:val="both"/>
        <w:rPr>
          <w:rFonts w:ascii="Century Gothic" w:hAnsi="Century Gothic"/>
        </w:rPr>
      </w:pPr>
    </w:p>
    <w:p w:rsidR="009E7424" w:rsidRDefault="009E7424" w:rsidP="009E7424">
      <w:pPr>
        <w:pStyle w:val="Prrafodelista"/>
        <w:numPr>
          <w:ilvl w:val="0"/>
          <w:numId w:val="4"/>
        </w:numPr>
        <w:tabs>
          <w:tab w:val="left" w:pos="426"/>
        </w:tabs>
        <w:jc w:val="both"/>
        <w:rPr>
          <w:rFonts w:ascii="Century Gothic" w:hAnsi="Century Gothic"/>
          <w:b/>
        </w:rPr>
      </w:pPr>
      <w:r w:rsidRPr="00C016DD">
        <w:rPr>
          <w:rFonts w:ascii="Century Gothic" w:hAnsi="Century Gothic"/>
          <w:b/>
        </w:rPr>
        <w:t>Razones Financieras:</w:t>
      </w:r>
    </w:p>
    <w:p w:rsidR="00C87E1B" w:rsidRPr="00C016DD" w:rsidRDefault="00C87E1B" w:rsidP="00C87E1B">
      <w:pPr>
        <w:pStyle w:val="Prrafodelista"/>
        <w:tabs>
          <w:tab w:val="left" w:pos="426"/>
        </w:tabs>
        <w:ind w:left="780"/>
        <w:jc w:val="both"/>
        <w:rPr>
          <w:rFonts w:ascii="Century Gothic" w:hAnsi="Century Gothic"/>
          <w:b/>
        </w:rPr>
      </w:pPr>
    </w:p>
    <w:tbl>
      <w:tblPr>
        <w:tblStyle w:val="Tablaconcuadrcula"/>
        <w:tblW w:w="0" w:type="auto"/>
        <w:tblLook w:val="04A0" w:firstRow="1" w:lastRow="0" w:firstColumn="1" w:lastColumn="0" w:noHBand="0" w:noVBand="1"/>
      </w:tblPr>
      <w:tblGrid>
        <w:gridCol w:w="817"/>
        <w:gridCol w:w="4820"/>
        <w:gridCol w:w="1984"/>
      </w:tblGrid>
      <w:tr w:rsidR="009E7424" w:rsidRPr="00C016DD" w:rsidTr="00354815">
        <w:tc>
          <w:tcPr>
            <w:tcW w:w="817" w:type="dxa"/>
            <w:shd w:val="clear" w:color="auto" w:fill="A6A6A6" w:themeFill="background1" w:themeFillShade="A6"/>
          </w:tcPr>
          <w:p w:rsidR="009E7424" w:rsidRPr="00C016DD" w:rsidRDefault="009E7424" w:rsidP="009E7424">
            <w:pPr>
              <w:tabs>
                <w:tab w:val="left" w:pos="426"/>
              </w:tabs>
              <w:jc w:val="center"/>
              <w:rPr>
                <w:rFonts w:ascii="Century Gothic" w:hAnsi="Century Gothic"/>
                <w:b/>
              </w:rPr>
            </w:pPr>
            <w:r w:rsidRPr="00C016DD">
              <w:rPr>
                <w:rFonts w:ascii="Century Gothic" w:hAnsi="Century Gothic"/>
                <w:b/>
              </w:rPr>
              <w:t>Núm.</w:t>
            </w:r>
          </w:p>
        </w:tc>
        <w:tc>
          <w:tcPr>
            <w:tcW w:w="4820" w:type="dxa"/>
            <w:shd w:val="clear" w:color="auto" w:fill="A6A6A6" w:themeFill="background1" w:themeFillShade="A6"/>
          </w:tcPr>
          <w:p w:rsidR="009E7424" w:rsidRPr="00C016DD" w:rsidRDefault="009E7424" w:rsidP="009E7424">
            <w:pPr>
              <w:tabs>
                <w:tab w:val="left" w:pos="426"/>
              </w:tabs>
              <w:jc w:val="center"/>
              <w:rPr>
                <w:rFonts w:ascii="Century Gothic" w:hAnsi="Century Gothic"/>
                <w:b/>
              </w:rPr>
            </w:pPr>
            <w:r w:rsidRPr="00C016DD">
              <w:rPr>
                <w:rFonts w:ascii="Century Gothic" w:hAnsi="Century Gothic"/>
                <w:b/>
              </w:rPr>
              <w:t>Razón Financiera</w:t>
            </w:r>
          </w:p>
        </w:tc>
        <w:tc>
          <w:tcPr>
            <w:tcW w:w="1984" w:type="dxa"/>
            <w:shd w:val="clear" w:color="auto" w:fill="A6A6A6" w:themeFill="background1" w:themeFillShade="A6"/>
          </w:tcPr>
          <w:p w:rsidR="009E7424" w:rsidRPr="00C016DD" w:rsidRDefault="00F4111E" w:rsidP="004B23FA">
            <w:pPr>
              <w:tabs>
                <w:tab w:val="left" w:pos="426"/>
              </w:tabs>
              <w:jc w:val="center"/>
              <w:rPr>
                <w:rFonts w:ascii="Century Gothic" w:hAnsi="Century Gothic"/>
                <w:b/>
              </w:rPr>
            </w:pPr>
            <w:r>
              <w:rPr>
                <w:rFonts w:ascii="Century Gothic" w:hAnsi="Century Gothic"/>
                <w:b/>
              </w:rPr>
              <w:t>Dici</w:t>
            </w:r>
            <w:r w:rsidR="00354815">
              <w:rPr>
                <w:rFonts w:ascii="Century Gothic" w:hAnsi="Century Gothic"/>
                <w:b/>
              </w:rPr>
              <w:t>embre</w:t>
            </w:r>
            <w:r w:rsidR="00631E9A">
              <w:rPr>
                <w:rFonts w:ascii="Century Gothic" w:hAnsi="Century Gothic"/>
                <w:b/>
              </w:rPr>
              <w:t xml:space="preserve"> </w:t>
            </w:r>
            <w:r w:rsidR="00312AA2" w:rsidRPr="00C016DD">
              <w:rPr>
                <w:rFonts w:ascii="Century Gothic" w:hAnsi="Century Gothic"/>
                <w:b/>
              </w:rPr>
              <w:t>202</w:t>
            </w:r>
            <w:r w:rsidR="00C223D8">
              <w:rPr>
                <w:rFonts w:ascii="Century Gothic" w:hAnsi="Century Gothic"/>
                <w:b/>
              </w:rPr>
              <w:t>1</w:t>
            </w:r>
          </w:p>
        </w:tc>
      </w:tr>
      <w:tr w:rsidR="009E7424" w:rsidRPr="00C016DD" w:rsidTr="00354815">
        <w:tc>
          <w:tcPr>
            <w:tcW w:w="817" w:type="dxa"/>
          </w:tcPr>
          <w:p w:rsidR="009E7424" w:rsidRPr="00C016DD" w:rsidRDefault="009E7424" w:rsidP="009E7424">
            <w:pPr>
              <w:tabs>
                <w:tab w:val="left" w:pos="426"/>
              </w:tabs>
              <w:jc w:val="center"/>
              <w:rPr>
                <w:rFonts w:ascii="Century Gothic" w:hAnsi="Century Gothic"/>
              </w:rPr>
            </w:pPr>
            <w:r w:rsidRPr="00C016DD">
              <w:rPr>
                <w:rFonts w:ascii="Century Gothic" w:hAnsi="Century Gothic"/>
              </w:rPr>
              <w:t>1</w:t>
            </w:r>
          </w:p>
        </w:tc>
        <w:tc>
          <w:tcPr>
            <w:tcW w:w="4820" w:type="dxa"/>
          </w:tcPr>
          <w:p w:rsidR="009E7424" w:rsidRPr="00C016DD" w:rsidRDefault="009E7424" w:rsidP="009E7424">
            <w:pPr>
              <w:tabs>
                <w:tab w:val="left" w:pos="426"/>
              </w:tabs>
              <w:jc w:val="both"/>
              <w:rPr>
                <w:rFonts w:ascii="Century Gothic" w:hAnsi="Century Gothic"/>
              </w:rPr>
            </w:pPr>
            <w:r w:rsidRPr="00C016DD">
              <w:rPr>
                <w:rFonts w:ascii="Century Gothic" w:hAnsi="Century Gothic"/>
              </w:rPr>
              <w:t>Circulante</w:t>
            </w:r>
          </w:p>
        </w:tc>
        <w:tc>
          <w:tcPr>
            <w:tcW w:w="1984" w:type="dxa"/>
          </w:tcPr>
          <w:p w:rsidR="009E7424" w:rsidRPr="00C016DD" w:rsidRDefault="002B5746" w:rsidP="00354815">
            <w:pPr>
              <w:tabs>
                <w:tab w:val="left" w:pos="426"/>
              </w:tabs>
              <w:rPr>
                <w:rFonts w:ascii="Century Gothic" w:hAnsi="Century Gothic"/>
              </w:rPr>
            </w:pPr>
            <w:r>
              <w:rPr>
                <w:rFonts w:ascii="Century Gothic" w:hAnsi="Century Gothic"/>
              </w:rPr>
              <w:t xml:space="preserve">       </w:t>
            </w:r>
            <w:r w:rsidR="00BF0FC6">
              <w:rPr>
                <w:rFonts w:ascii="Century Gothic" w:hAnsi="Century Gothic"/>
              </w:rPr>
              <w:t>5</w:t>
            </w:r>
            <w:r w:rsidR="009E7424" w:rsidRPr="00C016DD">
              <w:rPr>
                <w:rFonts w:ascii="Century Gothic" w:hAnsi="Century Gothic"/>
              </w:rPr>
              <w:t>.</w:t>
            </w:r>
            <w:r w:rsidR="00BF0FC6">
              <w:rPr>
                <w:rFonts w:ascii="Century Gothic" w:hAnsi="Century Gothic"/>
              </w:rPr>
              <w:t>0</w:t>
            </w:r>
            <w:r w:rsidR="00F4111E">
              <w:rPr>
                <w:rFonts w:ascii="Century Gothic" w:hAnsi="Century Gothic"/>
              </w:rPr>
              <w:t>3</w:t>
            </w:r>
          </w:p>
        </w:tc>
      </w:tr>
      <w:tr w:rsidR="009E7424" w:rsidRPr="00C016DD" w:rsidTr="00354815">
        <w:tc>
          <w:tcPr>
            <w:tcW w:w="817" w:type="dxa"/>
          </w:tcPr>
          <w:p w:rsidR="009E7424" w:rsidRPr="00C016DD" w:rsidRDefault="009E7424" w:rsidP="009E7424">
            <w:pPr>
              <w:tabs>
                <w:tab w:val="left" w:pos="426"/>
              </w:tabs>
              <w:jc w:val="center"/>
              <w:rPr>
                <w:rFonts w:ascii="Century Gothic" w:hAnsi="Century Gothic"/>
              </w:rPr>
            </w:pPr>
            <w:r w:rsidRPr="00C016DD">
              <w:rPr>
                <w:rFonts w:ascii="Century Gothic" w:hAnsi="Century Gothic"/>
              </w:rPr>
              <w:t>2</w:t>
            </w:r>
          </w:p>
        </w:tc>
        <w:tc>
          <w:tcPr>
            <w:tcW w:w="4820" w:type="dxa"/>
          </w:tcPr>
          <w:p w:rsidR="009E7424" w:rsidRPr="00C016DD" w:rsidRDefault="009E7424" w:rsidP="009E7424">
            <w:pPr>
              <w:tabs>
                <w:tab w:val="left" w:pos="426"/>
              </w:tabs>
              <w:jc w:val="both"/>
              <w:rPr>
                <w:rFonts w:ascii="Century Gothic" w:hAnsi="Century Gothic"/>
              </w:rPr>
            </w:pPr>
            <w:r w:rsidRPr="00C016DD">
              <w:rPr>
                <w:rFonts w:ascii="Century Gothic" w:hAnsi="Century Gothic"/>
              </w:rPr>
              <w:t>Liquidez y Equilibrio Presupuestal</w:t>
            </w:r>
          </w:p>
        </w:tc>
        <w:tc>
          <w:tcPr>
            <w:tcW w:w="1984" w:type="dxa"/>
          </w:tcPr>
          <w:p w:rsidR="009E7424" w:rsidRPr="00C016DD" w:rsidRDefault="002B5746" w:rsidP="00936335">
            <w:pPr>
              <w:tabs>
                <w:tab w:val="left" w:pos="426"/>
              </w:tabs>
              <w:rPr>
                <w:rFonts w:ascii="Century Gothic" w:hAnsi="Century Gothic"/>
              </w:rPr>
            </w:pPr>
            <w:r>
              <w:rPr>
                <w:rFonts w:ascii="Century Gothic" w:hAnsi="Century Gothic"/>
              </w:rPr>
              <w:t xml:space="preserve">       </w:t>
            </w:r>
            <w:r w:rsidR="009E7424" w:rsidRPr="00C016DD">
              <w:rPr>
                <w:rFonts w:ascii="Century Gothic" w:hAnsi="Century Gothic"/>
              </w:rPr>
              <w:t>0.</w:t>
            </w:r>
            <w:r w:rsidR="00842746">
              <w:rPr>
                <w:rFonts w:ascii="Century Gothic" w:hAnsi="Century Gothic"/>
              </w:rPr>
              <w:t>2</w:t>
            </w:r>
            <w:r w:rsidR="00F4111E">
              <w:rPr>
                <w:rFonts w:ascii="Century Gothic" w:hAnsi="Century Gothic"/>
              </w:rPr>
              <w:t>4</w:t>
            </w:r>
          </w:p>
        </w:tc>
      </w:tr>
      <w:tr w:rsidR="009E7424" w:rsidRPr="00C016DD" w:rsidTr="00354815">
        <w:tc>
          <w:tcPr>
            <w:tcW w:w="817" w:type="dxa"/>
          </w:tcPr>
          <w:p w:rsidR="009E7424" w:rsidRPr="00C016DD" w:rsidRDefault="009E7424" w:rsidP="009E7424">
            <w:pPr>
              <w:tabs>
                <w:tab w:val="left" w:pos="426"/>
              </w:tabs>
              <w:jc w:val="center"/>
              <w:rPr>
                <w:rFonts w:ascii="Century Gothic" w:hAnsi="Century Gothic"/>
              </w:rPr>
            </w:pPr>
            <w:r w:rsidRPr="00C016DD">
              <w:rPr>
                <w:rFonts w:ascii="Century Gothic" w:hAnsi="Century Gothic"/>
              </w:rPr>
              <w:t>3</w:t>
            </w:r>
          </w:p>
        </w:tc>
        <w:tc>
          <w:tcPr>
            <w:tcW w:w="4820" w:type="dxa"/>
          </w:tcPr>
          <w:p w:rsidR="009E7424" w:rsidRPr="00C016DD" w:rsidRDefault="009E7424" w:rsidP="009E7424">
            <w:pPr>
              <w:tabs>
                <w:tab w:val="left" w:pos="426"/>
              </w:tabs>
              <w:jc w:val="both"/>
              <w:rPr>
                <w:rFonts w:ascii="Century Gothic" w:hAnsi="Century Gothic"/>
              </w:rPr>
            </w:pPr>
            <w:r w:rsidRPr="00C016DD">
              <w:rPr>
                <w:rFonts w:ascii="Century Gothic" w:hAnsi="Century Gothic"/>
              </w:rPr>
              <w:t>Rentabilidad</w:t>
            </w:r>
          </w:p>
        </w:tc>
        <w:tc>
          <w:tcPr>
            <w:tcW w:w="1984" w:type="dxa"/>
          </w:tcPr>
          <w:p w:rsidR="009E7424" w:rsidRPr="00C016DD" w:rsidRDefault="00386687" w:rsidP="00472DC5">
            <w:pPr>
              <w:tabs>
                <w:tab w:val="left" w:pos="426"/>
              </w:tabs>
              <w:rPr>
                <w:rFonts w:ascii="Century Gothic" w:hAnsi="Century Gothic"/>
              </w:rPr>
            </w:pPr>
            <w:r>
              <w:rPr>
                <w:rFonts w:ascii="Century Gothic" w:hAnsi="Century Gothic"/>
              </w:rPr>
              <w:t xml:space="preserve">     </w:t>
            </w:r>
            <w:r w:rsidR="00E24DFE" w:rsidRPr="00C016DD">
              <w:rPr>
                <w:rFonts w:ascii="Century Gothic" w:hAnsi="Century Gothic"/>
              </w:rPr>
              <w:t xml:space="preserve"> </w:t>
            </w:r>
            <w:r w:rsidR="00422E4A" w:rsidRPr="00C016DD">
              <w:rPr>
                <w:rFonts w:ascii="Century Gothic" w:hAnsi="Century Gothic"/>
              </w:rPr>
              <w:t>-</w:t>
            </w:r>
            <w:r w:rsidR="009E7424" w:rsidRPr="00C016DD">
              <w:rPr>
                <w:rFonts w:ascii="Century Gothic" w:hAnsi="Century Gothic"/>
              </w:rPr>
              <w:t>0.</w:t>
            </w:r>
            <w:r w:rsidR="002F3FE7">
              <w:rPr>
                <w:rFonts w:ascii="Century Gothic" w:hAnsi="Century Gothic"/>
              </w:rPr>
              <w:t>0</w:t>
            </w:r>
            <w:r w:rsidR="00472DC5">
              <w:rPr>
                <w:rFonts w:ascii="Century Gothic" w:hAnsi="Century Gothic"/>
              </w:rPr>
              <w:t>2</w:t>
            </w:r>
            <w:r>
              <w:rPr>
                <w:rFonts w:ascii="Century Gothic" w:hAnsi="Century Gothic"/>
              </w:rPr>
              <w:t xml:space="preserve"> </w:t>
            </w:r>
            <w:r w:rsidR="0074003B" w:rsidRPr="00C016DD">
              <w:rPr>
                <w:rFonts w:ascii="Century Gothic" w:hAnsi="Century Gothic"/>
              </w:rPr>
              <w:t xml:space="preserve">  </w:t>
            </w:r>
          </w:p>
        </w:tc>
      </w:tr>
    </w:tbl>
    <w:p w:rsidR="009E7424" w:rsidRDefault="009E7424" w:rsidP="009E7424">
      <w:pPr>
        <w:tabs>
          <w:tab w:val="left" w:pos="426"/>
        </w:tabs>
        <w:jc w:val="both"/>
        <w:rPr>
          <w:rFonts w:ascii="Century Gothic" w:hAnsi="Century Gothic"/>
        </w:rPr>
      </w:pPr>
    </w:p>
    <w:p w:rsidR="00212D2F" w:rsidRPr="00C016DD" w:rsidRDefault="00212D2F" w:rsidP="009E7424">
      <w:pPr>
        <w:tabs>
          <w:tab w:val="left" w:pos="426"/>
        </w:tabs>
        <w:jc w:val="both"/>
        <w:rPr>
          <w:rFonts w:ascii="Century Gothic" w:hAnsi="Century Gothic"/>
        </w:rPr>
      </w:pPr>
    </w:p>
    <w:p w:rsidR="00EE7D97" w:rsidRDefault="00E85FBC" w:rsidP="00836E22">
      <w:pPr>
        <w:tabs>
          <w:tab w:val="left" w:pos="426"/>
        </w:tabs>
        <w:jc w:val="both"/>
        <w:rPr>
          <w:rFonts w:ascii="Century Gothic" w:hAnsi="Century Gothic"/>
          <w:b/>
        </w:rPr>
      </w:pPr>
      <w:r w:rsidRPr="00C016DD">
        <w:rPr>
          <w:rFonts w:ascii="Century Gothic" w:hAnsi="Century Gothic"/>
        </w:rPr>
        <w:tab/>
      </w:r>
      <w:r w:rsidRPr="00C016DD">
        <w:rPr>
          <w:rFonts w:ascii="Century Gothic" w:hAnsi="Century Gothic"/>
          <w:b/>
        </w:rPr>
        <w:t>Circulante</w:t>
      </w:r>
    </w:p>
    <w:p w:rsidR="00AC2252" w:rsidRPr="00C016DD" w:rsidRDefault="00AC2252" w:rsidP="00836E22">
      <w:pPr>
        <w:tabs>
          <w:tab w:val="left" w:pos="426"/>
        </w:tabs>
        <w:jc w:val="both"/>
        <w:rPr>
          <w:rFonts w:ascii="Century Gothic" w:hAnsi="Century Gothic"/>
          <w:b/>
        </w:rPr>
      </w:pPr>
    </w:p>
    <w:p w:rsidR="00E85FBC" w:rsidRDefault="00E85FBC" w:rsidP="00836E22">
      <w:pPr>
        <w:tabs>
          <w:tab w:val="left" w:pos="426"/>
        </w:tabs>
        <w:jc w:val="both"/>
        <w:rPr>
          <w:rFonts w:ascii="Century Gothic" w:hAnsi="Century Gothic"/>
        </w:rPr>
      </w:pPr>
      <w:r w:rsidRPr="00C016DD">
        <w:rPr>
          <w:rFonts w:ascii="Century Gothic" w:hAnsi="Century Gothic"/>
        </w:rPr>
        <w:t xml:space="preserve">Muestra una proporción de </w:t>
      </w:r>
      <w:r w:rsidR="00BF0FC6">
        <w:rPr>
          <w:rFonts w:ascii="Century Gothic" w:hAnsi="Century Gothic"/>
          <w:b/>
        </w:rPr>
        <w:t>$5</w:t>
      </w:r>
      <w:r w:rsidRPr="00C016DD">
        <w:rPr>
          <w:rFonts w:ascii="Century Gothic" w:hAnsi="Century Gothic"/>
          <w:b/>
        </w:rPr>
        <w:t>.</w:t>
      </w:r>
      <w:r w:rsidR="00BF0FC6">
        <w:rPr>
          <w:rFonts w:ascii="Century Gothic" w:hAnsi="Century Gothic"/>
          <w:b/>
        </w:rPr>
        <w:t>0</w:t>
      </w:r>
      <w:r w:rsidR="00874E27">
        <w:rPr>
          <w:rFonts w:ascii="Century Gothic" w:hAnsi="Century Gothic"/>
          <w:b/>
        </w:rPr>
        <w:t>3</w:t>
      </w:r>
      <w:r w:rsidRPr="00C016DD">
        <w:rPr>
          <w:rFonts w:ascii="Century Gothic" w:hAnsi="Century Gothic"/>
        </w:rPr>
        <w:t xml:space="preserve"> por cada </w:t>
      </w:r>
      <w:r w:rsidRPr="00C016DD">
        <w:rPr>
          <w:rFonts w:ascii="Century Gothic" w:hAnsi="Century Gothic"/>
          <w:b/>
        </w:rPr>
        <w:t>$</w:t>
      </w:r>
      <w:r w:rsidR="00447D07" w:rsidRPr="00C016DD">
        <w:rPr>
          <w:rFonts w:ascii="Century Gothic" w:hAnsi="Century Gothic"/>
          <w:b/>
        </w:rPr>
        <w:t>1</w:t>
      </w:r>
      <w:r w:rsidRPr="00C016DD">
        <w:rPr>
          <w:rFonts w:ascii="Century Gothic" w:hAnsi="Century Gothic"/>
          <w:b/>
        </w:rPr>
        <w:t>.00</w:t>
      </w:r>
      <w:r w:rsidRPr="00C016DD">
        <w:rPr>
          <w:rFonts w:ascii="Century Gothic" w:hAnsi="Century Gothic"/>
        </w:rPr>
        <w:t xml:space="preserve"> de deuda. Lo cual representa la capacidad del Fideicomiso </w:t>
      </w:r>
      <w:r w:rsidR="002B1503" w:rsidRPr="00C016DD">
        <w:rPr>
          <w:rFonts w:ascii="Century Gothic" w:hAnsi="Century Gothic"/>
        </w:rPr>
        <w:t>Teatro Mariano Matamoros</w:t>
      </w:r>
      <w:r w:rsidRPr="00C016DD">
        <w:rPr>
          <w:rFonts w:ascii="Century Gothic" w:hAnsi="Century Gothic"/>
        </w:rPr>
        <w:t xml:space="preserve"> durante el mes de </w:t>
      </w:r>
      <w:r w:rsidR="00874E27">
        <w:rPr>
          <w:rFonts w:ascii="Century Gothic" w:hAnsi="Century Gothic"/>
          <w:b/>
        </w:rPr>
        <w:t>dic</w:t>
      </w:r>
      <w:r w:rsidR="00354815">
        <w:rPr>
          <w:rFonts w:ascii="Century Gothic" w:hAnsi="Century Gothic"/>
          <w:b/>
        </w:rPr>
        <w:t>iembre</w:t>
      </w:r>
      <w:r w:rsidRPr="00C016DD">
        <w:rPr>
          <w:rFonts w:ascii="Century Gothic" w:hAnsi="Century Gothic"/>
          <w:b/>
        </w:rPr>
        <w:t xml:space="preserve"> de </w:t>
      </w:r>
      <w:r w:rsidR="00312AA2" w:rsidRPr="00C016DD">
        <w:rPr>
          <w:rFonts w:ascii="Century Gothic" w:hAnsi="Century Gothic"/>
          <w:b/>
        </w:rPr>
        <w:t>202</w:t>
      </w:r>
      <w:r w:rsidR="00C223D8">
        <w:rPr>
          <w:rFonts w:ascii="Century Gothic" w:hAnsi="Century Gothic"/>
          <w:b/>
        </w:rPr>
        <w:t>1</w:t>
      </w:r>
      <w:r w:rsidRPr="00C016DD">
        <w:rPr>
          <w:rFonts w:ascii="Century Gothic" w:hAnsi="Century Gothic"/>
        </w:rPr>
        <w:t xml:space="preserve"> para responder a sus obligaciones de corto plazo</w:t>
      </w:r>
      <w:r w:rsidR="0025748C" w:rsidRPr="00C016DD">
        <w:rPr>
          <w:rFonts w:ascii="Century Gothic" w:hAnsi="Century Gothic"/>
        </w:rPr>
        <w:t xml:space="preserve"> con sus activos circulantes y muestra que estos son suficientes ya que cubren los pasivos por pagar </w:t>
      </w:r>
      <w:r w:rsidR="00447D07" w:rsidRPr="00C016DD">
        <w:rPr>
          <w:rFonts w:ascii="Century Gothic" w:hAnsi="Century Gothic"/>
        </w:rPr>
        <w:t xml:space="preserve">a corto plazo </w:t>
      </w:r>
      <w:r w:rsidR="0025748C" w:rsidRPr="00C016DD">
        <w:rPr>
          <w:rFonts w:ascii="Century Gothic" w:hAnsi="Century Gothic"/>
        </w:rPr>
        <w:t>a cargo del Fideicomiso T</w:t>
      </w:r>
      <w:r w:rsidR="002B1503" w:rsidRPr="00C016DD">
        <w:rPr>
          <w:rFonts w:ascii="Century Gothic" w:hAnsi="Century Gothic"/>
        </w:rPr>
        <w:t xml:space="preserve">eatro </w:t>
      </w:r>
      <w:r w:rsidR="0025748C" w:rsidRPr="00C016DD">
        <w:rPr>
          <w:rFonts w:ascii="Century Gothic" w:hAnsi="Century Gothic"/>
        </w:rPr>
        <w:t>M</w:t>
      </w:r>
      <w:r w:rsidR="002B1503" w:rsidRPr="00C016DD">
        <w:rPr>
          <w:rFonts w:ascii="Century Gothic" w:hAnsi="Century Gothic"/>
        </w:rPr>
        <w:t xml:space="preserve">ariano </w:t>
      </w:r>
      <w:r w:rsidR="0025748C" w:rsidRPr="00C016DD">
        <w:rPr>
          <w:rFonts w:ascii="Century Gothic" w:hAnsi="Century Gothic"/>
        </w:rPr>
        <w:t>M</w:t>
      </w:r>
      <w:r w:rsidR="002B1503" w:rsidRPr="00C016DD">
        <w:rPr>
          <w:rFonts w:ascii="Century Gothic" w:hAnsi="Century Gothic"/>
        </w:rPr>
        <w:t>atamoros</w:t>
      </w:r>
      <w:r w:rsidR="00447D07" w:rsidRPr="00C016DD">
        <w:rPr>
          <w:rFonts w:ascii="Century Gothic" w:hAnsi="Century Gothic"/>
        </w:rPr>
        <w:t>, únicamente se están considerando los adeudos por gasto de operación ya que no se incluyen los pasivos por obra pública contratada no ejecutada ya que estos se encuentran en proceso de finiquito y cancelaciones anticipadas</w:t>
      </w:r>
      <w:r w:rsidR="0025748C" w:rsidRPr="00C016DD">
        <w:rPr>
          <w:rFonts w:ascii="Century Gothic" w:hAnsi="Century Gothic"/>
        </w:rPr>
        <w:t xml:space="preserve">. </w:t>
      </w:r>
    </w:p>
    <w:p w:rsidR="00AC2252" w:rsidRPr="00C016DD" w:rsidRDefault="00AC2252" w:rsidP="00836E22">
      <w:pPr>
        <w:tabs>
          <w:tab w:val="left" w:pos="426"/>
        </w:tabs>
        <w:jc w:val="both"/>
        <w:rPr>
          <w:rFonts w:ascii="Century Gothic" w:hAnsi="Century Gothic"/>
        </w:rPr>
      </w:pPr>
    </w:p>
    <w:p w:rsidR="003E61BB" w:rsidRPr="00C016DD" w:rsidRDefault="003E61BB" w:rsidP="00836E22">
      <w:pPr>
        <w:tabs>
          <w:tab w:val="left" w:pos="426"/>
        </w:tabs>
        <w:jc w:val="both"/>
        <w:rPr>
          <w:rFonts w:ascii="Century Gothic" w:hAnsi="Century Gothic"/>
        </w:rPr>
      </w:pPr>
      <w:r w:rsidRPr="00C016DD">
        <w:rPr>
          <w:rFonts w:ascii="Century Gothic" w:hAnsi="Century Gothic"/>
        </w:rPr>
        <w:tab/>
        <w:t>Calculo:</w:t>
      </w:r>
      <w:r w:rsidRPr="00C016DD">
        <w:rPr>
          <w:rFonts w:ascii="Century Gothic" w:hAnsi="Century Gothic"/>
        </w:rPr>
        <w:tab/>
      </w:r>
      <w:r w:rsidRPr="00C016DD">
        <w:rPr>
          <w:rFonts w:ascii="Century Gothic" w:hAnsi="Century Gothic"/>
        </w:rPr>
        <w:tab/>
        <w:t>Activo circulante</w:t>
      </w:r>
      <w:r w:rsidR="00C75527" w:rsidRPr="00C016DD">
        <w:rPr>
          <w:rFonts w:ascii="Century Gothic" w:hAnsi="Century Gothic"/>
        </w:rPr>
        <w:t xml:space="preserve"> </w:t>
      </w:r>
      <w:r w:rsidRPr="00C016DD">
        <w:rPr>
          <w:rFonts w:ascii="Century Gothic" w:hAnsi="Century Gothic"/>
        </w:rPr>
        <w:t>/ Pasivo circulante= Razón Circulante</w:t>
      </w:r>
    </w:p>
    <w:p w:rsidR="003E61BB" w:rsidRDefault="003E61BB" w:rsidP="003E61BB">
      <w:pPr>
        <w:tabs>
          <w:tab w:val="left" w:pos="426"/>
        </w:tabs>
        <w:spacing w:after="0" w:line="240" w:lineRule="auto"/>
        <w:jc w:val="both"/>
        <w:rPr>
          <w:rFonts w:ascii="Century Gothic" w:hAnsi="Century Gothic"/>
        </w:rPr>
      </w:pPr>
      <w:r w:rsidRPr="00C016DD">
        <w:rPr>
          <w:rFonts w:ascii="Century Gothic" w:hAnsi="Century Gothic"/>
        </w:rPr>
        <w:tab/>
      </w:r>
      <w:r w:rsidRPr="00C016DD">
        <w:rPr>
          <w:rFonts w:ascii="Century Gothic" w:hAnsi="Century Gothic"/>
        </w:rPr>
        <w:tab/>
      </w:r>
      <w:r w:rsidRPr="00C016DD">
        <w:rPr>
          <w:rFonts w:ascii="Century Gothic" w:hAnsi="Century Gothic"/>
        </w:rPr>
        <w:tab/>
      </w:r>
      <w:r w:rsidRPr="00C016DD">
        <w:rPr>
          <w:rFonts w:ascii="Century Gothic" w:hAnsi="Century Gothic"/>
        </w:rPr>
        <w:tab/>
        <w:t>$</w:t>
      </w:r>
      <w:r w:rsidR="00631E9A">
        <w:rPr>
          <w:rFonts w:ascii="Century Gothic" w:hAnsi="Century Gothic"/>
        </w:rPr>
        <w:t>67</w:t>
      </w:r>
      <w:r w:rsidR="00384F9B">
        <w:rPr>
          <w:rFonts w:ascii="Century Gothic" w:hAnsi="Century Gothic"/>
        </w:rPr>
        <w:t>’</w:t>
      </w:r>
      <w:r w:rsidR="00874E27">
        <w:rPr>
          <w:rFonts w:ascii="Century Gothic" w:hAnsi="Century Gothic"/>
        </w:rPr>
        <w:t>687</w:t>
      </w:r>
      <w:r w:rsidR="00384F9B">
        <w:rPr>
          <w:rFonts w:ascii="Century Gothic" w:hAnsi="Century Gothic"/>
        </w:rPr>
        <w:t>,</w:t>
      </w:r>
      <w:r w:rsidR="00874E27">
        <w:rPr>
          <w:rFonts w:ascii="Century Gothic" w:hAnsi="Century Gothic"/>
        </w:rPr>
        <w:t>489</w:t>
      </w:r>
      <w:r w:rsidR="00384F9B">
        <w:rPr>
          <w:rFonts w:ascii="Century Gothic" w:hAnsi="Century Gothic"/>
        </w:rPr>
        <w:t>.</w:t>
      </w:r>
      <w:r w:rsidR="00874E27">
        <w:rPr>
          <w:rFonts w:ascii="Century Gothic" w:hAnsi="Century Gothic"/>
        </w:rPr>
        <w:t>09</w:t>
      </w:r>
      <w:r w:rsidR="00A73D10" w:rsidRPr="00C016DD">
        <w:rPr>
          <w:rFonts w:ascii="Century Gothic" w:hAnsi="Century Gothic"/>
        </w:rPr>
        <w:t xml:space="preserve"> </w:t>
      </w:r>
      <w:r w:rsidRPr="00C016DD">
        <w:rPr>
          <w:rFonts w:ascii="Century Gothic" w:hAnsi="Century Gothic"/>
        </w:rPr>
        <w:t>/</w:t>
      </w:r>
      <w:r w:rsidR="00A73D10" w:rsidRPr="00C016DD">
        <w:rPr>
          <w:rFonts w:ascii="Century Gothic" w:hAnsi="Century Gothic"/>
        </w:rPr>
        <w:t xml:space="preserve"> </w:t>
      </w:r>
      <w:r w:rsidRPr="00C016DD">
        <w:rPr>
          <w:rFonts w:ascii="Century Gothic" w:hAnsi="Century Gothic"/>
        </w:rPr>
        <w:t>$</w:t>
      </w:r>
      <w:r w:rsidR="00F7632F" w:rsidRPr="00C016DD">
        <w:rPr>
          <w:rFonts w:ascii="Century Gothic" w:hAnsi="Century Gothic"/>
        </w:rPr>
        <w:t>13’458,692.40</w:t>
      </w:r>
      <w:r w:rsidR="00631E9A">
        <w:rPr>
          <w:rFonts w:ascii="Century Gothic" w:hAnsi="Century Gothic"/>
        </w:rPr>
        <w:t xml:space="preserve"> = 5</w:t>
      </w:r>
      <w:r w:rsidRPr="00C016DD">
        <w:rPr>
          <w:rFonts w:ascii="Century Gothic" w:hAnsi="Century Gothic"/>
        </w:rPr>
        <w:t>.</w:t>
      </w:r>
      <w:r w:rsidR="00631E9A">
        <w:rPr>
          <w:rFonts w:ascii="Century Gothic" w:hAnsi="Century Gothic"/>
        </w:rPr>
        <w:t>0</w:t>
      </w:r>
      <w:r w:rsidR="00874E27">
        <w:rPr>
          <w:rFonts w:ascii="Century Gothic" w:hAnsi="Century Gothic"/>
        </w:rPr>
        <w:t>3</w:t>
      </w:r>
    </w:p>
    <w:p w:rsidR="00631E9A" w:rsidRDefault="00631E9A" w:rsidP="003E61BB">
      <w:pPr>
        <w:tabs>
          <w:tab w:val="left" w:pos="426"/>
        </w:tabs>
        <w:spacing w:after="0" w:line="240" w:lineRule="auto"/>
        <w:jc w:val="both"/>
        <w:rPr>
          <w:rFonts w:ascii="Century Gothic" w:hAnsi="Century Gothic"/>
        </w:rPr>
      </w:pPr>
    </w:p>
    <w:p w:rsidR="00631E9A" w:rsidRPr="00C016DD" w:rsidRDefault="00631E9A" w:rsidP="003E61BB">
      <w:pPr>
        <w:tabs>
          <w:tab w:val="left" w:pos="426"/>
        </w:tabs>
        <w:spacing w:after="0" w:line="240" w:lineRule="auto"/>
        <w:jc w:val="both"/>
        <w:rPr>
          <w:rFonts w:ascii="Century Gothic" w:hAnsi="Century Gothic"/>
        </w:rPr>
      </w:pPr>
    </w:p>
    <w:p w:rsidR="003A1952" w:rsidRPr="00C016DD" w:rsidRDefault="003A1952" w:rsidP="003E61BB">
      <w:pPr>
        <w:tabs>
          <w:tab w:val="left" w:pos="426"/>
        </w:tabs>
        <w:spacing w:after="0" w:line="240" w:lineRule="auto"/>
        <w:jc w:val="both"/>
        <w:rPr>
          <w:rFonts w:ascii="Century Gothic" w:hAnsi="Century Gothic"/>
        </w:rPr>
      </w:pPr>
    </w:p>
    <w:p w:rsidR="00447D07" w:rsidRPr="00C016DD" w:rsidRDefault="00447D07" w:rsidP="003E61BB">
      <w:pPr>
        <w:tabs>
          <w:tab w:val="left" w:pos="426"/>
        </w:tabs>
        <w:spacing w:after="0" w:line="240" w:lineRule="auto"/>
        <w:jc w:val="both"/>
        <w:rPr>
          <w:rFonts w:ascii="Century Gothic" w:hAnsi="Century Gothic"/>
        </w:rPr>
      </w:pPr>
      <w:r w:rsidRPr="00C016DD">
        <w:rPr>
          <w:rFonts w:ascii="Century Gothic" w:hAnsi="Century Gothic"/>
          <w:b/>
        </w:rPr>
        <w:t>Liquidez y Equilibrio Presupuestal</w:t>
      </w:r>
    </w:p>
    <w:p w:rsidR="00447D07" w:rsidRPr="00C016DD" w:rsidRDefault="00447D07" w:rsidP="003E61BB">
      <w:pPr>
        <w:tabs>
          <w:tab w:val="left" w:pos="426"/>
        </w:tabs>
        <w:spacing w:after="0" w:line="240" w:lineRule="auto"/>
        <w:jc w:val="both"/>
        <w:rPr>
          <w:rFonts w:ascii="Century Gothic" w:hAnsi="Century Gothic"/>
        </w:rPr>
      </w:pPr>
    </w:p>
    <w:p w:rsidR="00447D07" w:rsidRPr="00C016DD" w:rsidRDefault="00447D07" w:rsidP="003E61BB">
      <w:pPr>
        <w:tabs>
          <w:tab w:val="left" w:pos="426"/>
        </w:tabs>
        <w:spacing w:after="0" w:line="240" w:lineRule="auto"/>
        <w:jc w:val="both"/>
        <w:rPr>
          <w:rFonts w:ascii="Century Gothic" w:hAnsi="Century Gothic"/>
        </w:rPr>
      </w:pPr>
      <w:r w:rsidRPr="00C016DD">
        <w:rPr>
          <w:rFonts w:ascii="Century Gothic" w:hAnsi="Century Gothic"/>
        </w:rPr>
        <w:t xml:space="preserve">Muestra la capacidad del Fideicomiso </w:t>
      </w:r>
      <w:r w:rsidR="002B1503" w:rsidRPr="00C016DD">
        <w:rPr>
          <w:rFonts w:ascii="Century Gothic" w:hAnsi="Century Gothic"/>
        </w:rPr>
        <w:t>Teatro Mariano Matamoros</w:t>
      </w:r>
      <w:r w:rsidRPr="00C016DD">
        <w:rPr>
          <w:rFonts w:ascii="Century Gothic" w:hAnsi="Century Gothic"/>
        </w:rPr>
        <w:t xml:space="preserve"> durante el mes de </w:t>
      </w:r>
      <w:r w:rsidR="00874E27">
        <w:rPr>
          <w:rFonts w:ascii="Century Gothic" w:hAnsi="Century Gothic"/>
          <w:b/>
        </w:rPr>
        <w:t>dic</w:t>
      </w:r>
      <w:r w:rsidR="00354815">
        <w:rPr>
          <w:rFonts w:ascii="Century Gothic" w:hAnsi="Century Gothic"/>
          <w:b/>
        </w:rPr>
        <w:t>iembre</w:t>
      </w:r>
      <w:r w:rsidRPr="00C016DD">
        <w:rPr>
          <w:rFonts w:ascii="Century Gothic" w:hAnsi="Century Gothic"/>
          <w:b/>
        </w:rPr>
        <w:t xml:space="preserve"> de </w:t>
      </w:r>
      <w:r w:rsidR="00312AA2" w:rsidRPr="00C016DD">
        <w:rPr>
          <w:rFonts w:ascii="Century Gothic" w:hAnsi="Century Gothic"/>
          <w:b/>
        </w:rPr>
        <w:t>202</w:t>
      </w:r>
      <w:r w:rsidR="00C223D8">
        <w:rPr>
          <w:rFonts w:ascii="Century Gothic" w:hAnsi="Century Gothic"/>
          <w:b/>
        </w:rPr>
        <w:t>1</w:t>
      </w:r>
      <w:r w:rsidRPr="00C016DD">
        <w:rPr>
          <w:rFonts w:ascii="Century Gothic" w:hAnsi="Century Gothic"/>
        </w:rPr>
        <w:t xml:space="preserve"> para responder a sus obligaciones a corto plazo sólo con su efectivo, lo que permite verificar que el fideicomiso </w:t>
      </w:r>
      <w:r w:rsidR="002B1503" w:rsidRPr="00C016DD">
        <w:rPr>
          <w:rFonts w:ascii="Century Gothic" w:hAnsi="Century Gothic"/>
        </w:rPr>
        <w:t>Teatro Mariano Matamoros</w:t>
      </w:r>
      <w:r w:rsidRPr="00C016DD">
        <w:rPr>
          <w:rFonts w:ascii="Century Gothic" w:hAnsi="Century Gothic"/>
        </w:rPr>
        <w:t xml:space="preserve"> cuenta con </w:t>
      </w:r>
      <w:r w:rsidRPr="00C016DD">
        <w:rPr>
          <w:rFonts w:ascii="Century Gothic" w:hAnsi="Century Gothic"/>
          <w:b/>
        </w:rPr>
        <w:t>$0.</w:t>
      </w:r>
      <w:r w:rsidR="00842746">
        <w:rPr>
          <w:rFonts w:ascii="Century Gothic" w:hAnsi="Century Gothic"/>
          <w:b/>
        </w:rPr>
        <w:t>2</w:t>
      </w:r>
      <w:r w:rsidR="00874E27">
        <w:rPr>
          <w:rFonts w:ascii="Century Gothic" w:hAnsi="Century Gothic"/>
          <w:b/>
        </w:rPr>
        <w:t>4</w:t>
      </w:r>
      <w:r w:rsidRPr="00C016DD">
        <w:rPr>
          <w:rFonts w:ascii="Century Gothic" w:hAnsi="Century Gothic"/>
        </w:rPr>
        <w:t xml:space="preserve"> para hacer frente a cada peso de deuda a corto plazo, por lo que se determina que de conformidad a los saldos presentado</w:t>
      </w:r>
      <w:r w:rsidR="008E1669" w:rsidRPr="00C016DD">
        <w:rPr>
          <w:rFonts w:ascii="Century Gothic" w:hAnsi="Century Gothic"/>
        </w:rPr>
        <w:t>s en la información financiera n</w:t>
      </w:r>
      <w:r w:rsidRPr="00C016DD">
        <w:rPr>
          <w:rFonts w:ascii="Century Gothic" w:hAnsi="Century Gothic"/>
        </w:rPr>
        <w:t>o cuenta con suficiencia</w:t>
      </w:r>
      <w:r w:rsidR="00BD5E79" w:rsidRPr="00C016DD">
        <w:rPr>
          <w:rFonts w:ascii="Century Gothic" w:hAnsi="Century Gothic"/>
        </w:rPr>
        <w:t xml:space="preserve"> presupuestal para el caso, únicamente se están considerando los adeudos por gasto de operación ya que no se incluyen </w:t>
      </w:r>
      <w:r w:rsidR="00BD5E79" w:rsidRPr="00C016DD">
        <w:rPr>
          <w:rFonts w:ascii="Century Gothic" w:hAnsi="Century Gothic"/>
        </w:rPr>
        <w:lastRenderedPageBreak/>
        <w:t>los pasivos por obra pública contratada no ejecutada ya que estos se encuentran en proceso de finiquito y cancelaciones anticipadas.</w:t>
      </w:r>
    </w:p>
    <w:p w:rsidR="00BD5E79" w:rsidRPr="00C016DD" w:rsidRDefault="00BD5E79" w:rsidP="003E61BB">
      <w:pPr>
        <w:tabs>
          <w:tab w:val="left" w:pos="426"/>
        </w:tabs>
        <w:spacing w:after="0" w:line="240" w:lineRule="auto"/>
        <w:jc w:val="both"/>
        <w:rPr>
          <w:rFonts w:ascii="Century Gothic" w:hAnsi="Century Gothic"/>
        </w:rPr>
      </w:pPr>
    </w:p>
    <w:p w:rsidR="00BD5E79" w:rsidRPr="00C016DD" w:rsidRDefault="00BD5E79" w:rsidP="00E559B5">
      <w:pPr>
        <w:tabs>
          <w:tab w:val="left" w:pos="426"/>
        </w:tabs>
        <w:spacing w:after="120" w:line="240" w:lineRule="auto"/>
        <w:jc w:val="both"/>
        <w:rPr>
          <w:rFonts w:ascii="Century Gothic" w:hAnsi="Century Gothic"/>
        </w:rPr>
      </w:pPr>
      <w:r w:rsidRPr="00C016DD">
        <w:rPr>
          <w:rFonts w:ascii="Century Gothic" w:hAnsi="Century Gothic"/>
        </w:rPr>
        <w:tab/>
        <w:t>Calculo:</w:t>
      </w:r>
      <w:r w:rsidRPr="00C016DD">
        <w:rPr>
          <w:rFonts w:ascii="Century Gothic" w:hAnsi="Century Gothic"/>
        </w:rPr>
        <w:tab/>
      </w:r>
      <w:r w:rsidRPr="00C016DD">
        <w:rPr>
          <w:rFonts w:ascii="Century Gothic" w:hAnsi="Century Gothic"/>
        </w:rPr>
        <w:tab/>
        <w:t>Caja + Bancos / Pasivo a corto Plazo = Razón de Liquidez</w:t>
      </w:r>
    </w:p>
    <w:p w:rsidR="00BD5E79" w:rsidRPr="00C016DD" w:rsidRDefault="00B259FE" w:rsidP="00E559B5">
      <w:pPr>
        <w:tabs>
          <w:tab w:val="left" w:pos="426"/>
        </w:tabs>
        <w:spacing w:after="120" w:line="240" w:lineRule="auto"/>
        <w:jc w:val="both"/>
        <w:rPr>
          <w:rFonts w:ascii="Century Gothic" w:hAnsi="Century Gothic"/>
        </w:rPr>
      </w:pPr>
      <w:r w:rsidRPr="00C016DD">
        <w:rPr>
          <w:rFonts w:ascii="Century Gothic" w:hAnsi="Century Gothic"/>
        </w:rPr>
        <w:tab/>
      </w:r>
      <w:r w:rsidRPr="00C016DD">
        <w:rPr>
          <w:rFonts w:ascii="Century Gothic" w:hAnsi="Century Gothic"/>
        </w:rPr>
        <w:tab/>
      </w:r>
      <w:r w:rsidRPr="00C016DD">
        <w:rPr>
          <w:rFonts w:ascii="Century Gothic" w:hAnsi="Century Gothic"/>
        </w:rPr>
        <w:tab/>
      </w:r>
      <w:r w:rsidRPr="00C016DD">
        <w:rPr>
          <w:rFonts w:ascii="Century Gothic" w:hAnsi="Century Gothic"/>
        </w:rPr>
        <w:tab/>
      </w:r>
      <w:r w:rsidR="001419B9" w:rsidRPr="00C016DD">
        <w:rPr>
          <w:rFonts w:ascii="Century Gothic" w:hAnsi="Century Gothic"/>
        </w:rPr>
        <w:t>$</w:t>
      </w:r>
      <w:r w:rsidR="00150EEC">
        <w:rPr>
          <w:rFonts w:ascii="Century Gothic" w:hAnsi="Century Gothic"/>
        </w:rPr>
        <w:t>3’</w:t>
      </w:r>
      <w:r w:rsidR="00874E27">
        <w:rPr>
          <w:rFonts w:ascii="Century Gothic" w:hAnsi="Century Gothic"/>
        </w:rPr>
        <w:t>186</w:t>
      </w:r>
      <w:r w:rsidR="00150EEC">
        <w:rPr>
          <w:rFonts w:ascii="Century Gothic" w:hAnsi="Century Gothic"/>
        </w:rPr>
        <w:t>,</w:t>
      </w:r>
      <w:r w:rsidR="00874E27">
        <w:rPr>
          <w:rFonts w:ascii="Century Gothic" w:hAnsi="Century Gothic"/>
        </w:rPr>
        <w:t>678</w:t>
      </w:r>
      <w:r w:rsidR="00150EEC">
        <w:rPr>
          <w:rFonts w:ascii="Century Gothic" w:hAnsi="Century Gothic"/>
        </w:rPr>
        <w:t>.</w:t>
      </w:r>
      <w:r w:rsidR="00874E27">
        <w:rPr>
          <w:rFonts w:ascii="Century Gothic" w:hAnsi="Century Gothic"/>
        </w:rPr>
        <w:t>09</w:t>
      </w:r>
      <w:r w:rsidR="00BD5E79" w:rsidRPr="00C016DD">
        <w:rPr>
          <w:rFonts w:ascii="Century Gothic" w:hAnsi="Century Gothic"/>
        </w:rPr>
        <w:t xml:space="preserve"> / $</w:t>
      </w:r>
      <w:r w:rsidR="00B25CA8" w:rsidRPr="00C016DD">
        <w:rPr>
          <w:rFonts w:ascii="Century Gothic" w:hAnsi="Century Gothic"/>
        </w:rPr>
        <w:t>13’458,692.40</w:t>
      </w:r>
      <w:r w:rsidR="00BD5E79" w:rsidRPr="00C016DD">
        <w:rPr>
          <w:rFonts w:ascii="Century Gothic" w:hAnsi="Century Gothic"/>
        </w:rPr>
        <w:t xml:space="preserve"> = 0.</w:t>
      </w:r>
      <w:r w:rsidR="00842746">
        <w:rPr>
          <w:rFonts w:ascii="Century Gothic" w:hAnsi="Century Gothic"/>
        </w:rPr>
        <w:t>2</w:t>
      </w:r>
      <w:r w:rsidR="00874E27">
        <w:rPr>
          <w:rFonts w:ascii="Century Gothic" w:hAnsi="Century Gothic"/>
        </w:rPr>
        <w:t>4</w:t>
      </w:r>
    </w:p>
    <w:p w:rsidR="00FD4DED" w:rsidRDefault="00FD4DED" w:rsidP="00BD5E79">
      <w:pPr>
        <w:tabs>
          <w:tab w:val="left" w:pos="426"/>
        </w:tabs>
        <w:spacing w:after="0" w:line="240" w:lineRule="auto"/>
        <w:jc w:val="both"/>
        <w:rPr>
          <w:rFonts w:ascii="Century Gothic" w:hAnsi="Century Gothic"/>
          <w:b/>
        </w:rPr>
      </w:pPr>
    </w:p>
    <w:p w:rsidR="008E0816" w:rsidRDefault="008E0816" w:rsidP="00BD5E79">
      <w:pPr>
        <w:tabs>
          <w:tab w:val="left" w:pos="426"/>
        </w:tabs>
        <w:spacing w:after="0" w:line="240" w:lineRule="auto"/>
        <w:jc w:val="both"/>
        <w:rPr>
          <w:rFonts w:ascii="Century Gothic" w:hAnsi="Century Gothic"/>
          <w:b/>
        </w:rPr>
      </w:pPr>
    </w:p>
    <w:p w:rsidR="00BD5E79" w:rsidRPr="00C016DD" w:rsidRDefault="00BD5E79" w:rsidP="00BD5E79">
      <w:pPr>
        <w:tabs>
          <w:tab w:val="left" w:pos="426"/>
        </w:tabs>
        <w:spacing w:after="0" w:line="240" w:lineRule="auto"/>
        <w:jc w:val="both"/>
        <w:rPr>
          <w:rFonts w:ascii="Century Gothic" w:hAnsi="Century Gothic"/>
        </w:rPr>
      </w:pPr>
      <w:r w:rsidRPr="00C016DD">
        <w:rPr>
          <w:rFonts w:ascii="Century Gothic" w:hAnsi="Century Gothic"/>
          <w:b/>
        </w:rPr>
        <w:t>Rentabilidad</w:t>
      </w:r>
    </w:p>
    <w:p w:rsidR="00BD5E79" w:rsidRPr="00C016DD" w:rsidRDefault="00BD5E79" w:rsidP="00BD5E79">
      <w:pPr>
        <w:tabs>
          <w:tab w:val="left" w:pos="426"/>
        </w:tabs>
        <w:spacing w:after="0" w:line="240" w:lineRule="auto"/>
        <w:jc w:val="both"/>
        <w:rPr>
          <w:rFonts w:ascii="Century Gothic" w:hAnsi="Century Gothic"/>
        </w:rPr>
      </w:pPr>
    </w:p>
    <w:p w:rsidR="00BD5E79" w:rsidRPr="00C016DD" w:rsidRDefault="00BD5E79" w:rsidP="00BD5E79">
      <w:pPr>
        <w:tabs>
          <w:tab w:val="left" w:pos="426"/>
        </w:tabs>
        <w:spacing w:after="0" w:line="240" w:lineRule="auto"/>
        <w:jc w:val="both"/>
        <w:rPr>
          <w:rFonts w:ascii="Century Gothic" w:hAnsi="Century Gothic"/>
        </w:rPr>
      </w:pPr>
      <w:r w:rsidRPr="00C016DD">
        <w:rPr>
          <w:rFonts w:ascii="Century Gothic" w:hAnsi="Century Gothic"/>
        </w:rPr>
        <w:t xml:space="preserve">Este indicador es de naturaleza negativa ya que el Fideicomiso </w:t>
      </w:r>
      <w:r w:rsidR="002B1503" w:rsidRPr="00C016DD">
        <w:rPr>
          <w:rFonts w:ascii="Century Gothic" w:hAnsi="Century Gothic"/>
        </w:rPr>
        <w:t>Teatro Mariano Matamoros</w:t>
      </w:r>
      <w:r w:rsidRPr="00C016DD">
        <w:rPr>
          <w:rFonts w:ascii="Century Gothic" w:hAnsi="Century Gothic"/>
        </w:rPr>
        <w:t xml:space="preserve"> no cue</w:t>
      </w:r>
      <w:r w:rsidR="00807ED3" w:rsidRPr="00C016DD">
        <w:rPr>
          <w:rFonts w:ascii="Century Gothic" w:hAnsi="Century Gothic"/>
        </w:rPr>
        <w:t>nta con ingresos y por consecuencia el resultado del ejercicio es una pérdida</w:t>
      </w:r>
      <w:r w:rsidR="00640FCD" w:rsidRPr="00C016DD">
        <w:rPr>
          <w:rFonts w:ascii="Century Gothic" w:hAnsi="Century Gothic"/>
        </w:rPr>
        <w:t xml:space="preserve">, por lo cual tenemos una rentabilidad negativa de </w:t>
      </w:r>
      <w:r w:rsidR="007919F5" w:rsidRPr="00C016DD">
        <w:rPr>
          <w:rFonts w:ascii="Century Gothic" w:hAnsi="Century Gothic"/>
          <w:b/>
        </w:rPr>
        <w:t>-0.</w:t>
      </w:r>
      <w:r w:rsidR="002F3FE7">
        <w:rPr>
          <w:rFonts w:ascii="Century Gothic" w:hAnsi="Century Gothic"/>
          <w:b/>
        </w:rPr>
        <w:t>0</w:t>
      </w:r>
      <w:r w:rsidR="00472DC5">
        <w:rPr>
          <w:rFonts w:ascii="Century Gothic" w:hAnsi="Century Gothic"/>
          <w:b/>
        </w:rPr>
        <w:t>2</w:t>
      </w:r>
      <w:r w:rsidR="00F830C3" w:rsidRPr="00C016DD">
        <w:rPr>
          <w:rFonts w:ascii="Century Gothic" w:hAnsi="Century Gothic"/>
          <w:b/>
        </w:rPr>
        <w:t xml:space="preserve"> </w:t>
      </w:r>
      <w:r w:rsidR="003C031A" w:rsidRPr="00C016DD">
        <w:rPr>
          <w:rFonts w:ascii="Century Gothic" w:hAnsi="Century Gothic"/>
        </w:rPr>
        <w:t xml:space="preserve">del Fideicomiso </w:t>
      </w:r>
      <w:r w:rsidR="002B1503" w:rsidRPr="00C016DD">
        <w:rPr>
          <w:rFonts w:ascii="Century Gothic" w:hAnsi="Century Gothic"/>
        </w:rPr>
        <w:t>Teatro Mariano Matamoros</w:t>
      </w:r>
      <w:r w:rsidR="003C031A" w:rsidRPr="00C016DD">
        <w:rPr>
          <w:rFonts w:ascii="Century Gothic" w:hAnsi="Century Gothic"/>
        </w:rPr>
        <w:t xml:space="preserve"> durante el mes de </w:t>
      </w:r>
      <w:r w:rsidR="00F4111E" w:rsidRPr="00F4111E">
        <w:rPr>
          <w:rFonts w:ascii="Century Gothic" w:hAnsi="Century Gothic"/>
          <w:b/>
        </w:rPr>
        <w:t>dic</w:t>
      </w:r>
      <w:r w:rsidR="00354815">
        <w:rPr>
          <w:rFonts w:ascii="Century Gothic" w:hAnsi="Century Gothic"/>
          <w:b/>
        </w:rPr>
        <w:t>iembre</w:t>
      </w:r>
      <w:r w:rsidR="003C031A" w:rsidRPr="00C016DD">
        <w:rPr>
          <w:rFonts w:ascii="Century Gothic" w:hAnsi="Century Gothic"/>
          <w:b/>
        </w:rPr>
        <w:t xml:space="preserve"> de </w:t>
      </w:r>
      <w:r w:rsidR="00312AA2" w:rsidRPr="00C016DD">
        <w:rPr>
          <w:rFonts w:ascii="Century Gothic" w:hAnsi="Century Gothic"/>
          <w:b/>
        </w:rPr>
        <w:t>202</w:t>
      </w:r>
      <w:r w:rsidR="00C223D8">
        <w:rPr>
          <w:rFonts w:ascii="Century Gothic" w:hAnsi="Century Gothic"/>
          <w:b/>
        </w:rPr>
        <w:t>1</w:t>
      </w:r>
      <w:r w:rsidR="003C031A" w:rsidRPr="00C016DD">
        <w:rPr>
          <w:rFonts w:ascii="Century Gothic" w:hAnsi="Century Gothic"/>
          <w:b/>
        </w:rPr>
        <w:t xml:space="preserve">, </w:t>
      </w:r>
      <w:r w:rsidR="003C031A" w:rsidRPr="00C016DD">
        <w:rPr>
          <w:rFonts w:ascii="Century Gothic" w:hAnsi="Century Gothic"/>
        </w:rPr>
        <w:t>únicamente se están considerando los adeudos por gasto de operación ya que no se incluyen los pasivos por obra pública contratada no ejecutada ya que estos se encuentran en proceso de finiquito y cancelaciones anticipadas.</w:t>
      </w:r>
    </w:p>
    <w:p w:rsidR="00807ED3" w:rsidRPr="00C016DD" w:rsidRDefault="00807ED3" w:rsidP="00BD5E79">
      <w:pPr>
        <w:tabs>
          <w:tab w:val="left" w:pos="426"/>
        </w:tabs>
        <w:spacing w:after="0" w:line="240" w:lineRule="auto"/>
        <w:jc w:val="both"/>
        <w:rPr>
          <w:rFonts w:ascii="Century Gothic" w:hAnsi="Century Gothic"/>
        </w:rPr>
      </w:pPr>
    </w:p>
    <w:p w:rsidR="003C031A" w:rsidRPr="00C016DD" w:rsidRDefault="003C031A" w:rsidP="00BD5E79">
      <w:pPr>
        <w:tabs>
          <w:tab w:val="left" w:pos="426"/>
        </w:tabs>
        <w:spacing w:after="0" w:line="240" w:lineRule="auto"/>
        <w:jc w:val="both"/>
        <w:rPr>
          <w:rFonts w:ascii="Century Gothic" w:hAnsi="Century Gothic"/>
        </w:rPr>
      </w:pPr>
    </w:p>
    <w:p w:rsidR="00807ED3" w:rsidRPr="00C016DD" w:rsidRDefault="00807ED3" w:rsidP="00807ED3">
      <w:pPr>
        <w:tabs>
          <w:tab w:val="left" w:pos="426"/>
        </w:tabs>
        <w:jc w:val="both"/>
        <w:rPr>
          <w:rFonts w:ascii="Century Gothic" w:hAnsi="Century Gothic"/>
        </w:rPr>
      </w:pPr>
      <w:r w:rsidRPr="00C016DD">
        <w:rPr>
          <w:rFonts w:ascii="Century Gothic" w:hAnsi="Century Gothic"/>
        </w:rPr>
        <w:t>Calculo:</w:t>
      </w:r>
      <w:r w:rsidRPr="00C016DD">
        <w:rPr>
          <w:rFonts w:ascii="Century Gothic" w:hAnsi="Century Gothic"/>
        </w:rPr>
        <w:tab/>
        <w:t>Resultado del Ejercicio / capital de Trabajo = Razón de rentabilidad</w:t>
      </w:r>
    </w:p>
    <w:p w:rsidR="00640FCD" w:rsidRPr="00C016DD" w:rsidRDefault="00640FCD" w:rsidP="00640FCD">
      <w:pPr>
        <w:tabs>
          <w:tab w:val="left" w:pos="426"/>
        </w:tabs>
        <w:spacing w:after="0" w:line="240" w:lineRule="auto"/>
        <w:jc w:val="both"/>
        <w:rPr>
          <w:rFonts w:ascii="Century Gothic" w:hAnsi="Century Gothic"/>
        </w:rPr>
      </w:pPr>
      <w:r w:rsidRPr="00C016DD">
        <w:rPr>
          <w:rFonts w:ascii="Century Gothic" w:hAnsi="Century Gothic"/>
        </w:rPr>
        <w:tab/>
      </w:r>
      <w:r w:rsidRPr="00C016DD">
        <w:rPr>
          <w:rFonts w:ascii="Century Gothic" w:hAnsi="Century Gothic"/>
        </w:rPr>
        <w:tab/>
        <w:t>Dónde</w:t>
      </w:r>
      <w:r w:rsidR="00807ED3" w:rsidRPr="00C016DD">
        <w:rPr>
          <w:rFonts w:ascii="Century Gothic" w:hAnsi="Century Gothic"/>
        </w:rPr>
        <w:t>:</w:t>
      </w:r>
      <w:r w:rsidR="00807ED3" w:rsidRPr="00C016DD">
        <w:rPr>
          <w:rFonts w:ascii="Century Gothic" w:hAnsi="Century Gothic"/>
        </w:rPr>
        <w:tab/>
        <w:t>Resultado del Ejer</w:t>
      </w:r>
      <w:r w:rsidRPr="00C016DD">
        <w:rPr>
          <w:rFonts w:ascii="Century Gothic" w:hAnsi="Century Gothic"/>
        </w:rPr>
        <w:t>c</w:t>
      </w:r>
      <w:r w:rsidR="00807ED3" w:rsidRPr="00C016DD">
        <w:rPr>
          <w:rFonts w:ascii="Century Gothic" w:hAnsi="Century Gothic"/>
        </w:rPr>
        <w:t>icio</w:t>
      </w:r>
      <w:r w:rsidRPr="00C016DD">
        <w:rPr>
          <w:rFonts w:ascii="Century Gothic" w:hAnsi="Century Gothic"/>
        </w:rPr>
        <w:t xml:space="preserve"> = Pérdida del ejercicio</w:t>
      </w:r>
    </w:p>
    <w:p w:rsidR="00807ED3" w:rsidRPr="00C016DD" w:rsidRDefault="00807ED3" w:rsidP="00640FCD">
      <w:pPr>
        <w:tabs>
          <w:tab w:val="left" w:pos="426"/>
        </w:tabs>
        <w:spacing w:after="0" w:line="240" w:lineRule="auto"/>
        <w:jc w:val="both"/>
        <w:rPr>
          <w:rFonts w:ascii="Century Gothic" w:hAnsi="Century Gothic"/>
        </w:rPr>
      </w:pPr>
      <w:r w:rsidRPr="00C016DD">
        <w:rPr>
          <w:rFonts w:ascii="Century Gothic" w:hAnsi="Century Gothic"/>
        </w:rPr>
        <w:t xml:space="preserve"> </w:t>
      </w:r>
      <w:r w:rsidR="00640FCD" w:rsidRPr="00C016DD">
        <w:rPr>
          <w:rFonts w:ascii="Century Gothic" w:hAnsi="Century Gothic"/>
        </w:rPr>
        <w:tab/>
      </w:r>
      <w:r w:rsidR="00640FCD" w:rsidRPr="00C016DD">
        <w:rPr>
          <w:rFonts w:ascii="Century Gothic" w:hAnsi="Century Gothic"/>
        </w:rPr>
        <w:tab/>
      </w:r>
      <w:r w:rsidR="00640FCD" w:rsidRPr="00C016DD">
        <w:rPr>
          <w:rFonts w:ascii="Century Gothic" w:hAnsi="Century Gothic"/>
        </w:rPr>
        <w:tab/>
      </w:r>
      <w:r w:rsidR="00640FCD" w:rsidRPr="00C016DD">
        <w:rPr>
          <w:rFonts w:ascii="Century Gothic" w:hAnsi="Century Gothic"/>
        </w:rPr>
        <w:tab/>
        <w:t>Capital de trabajo= Activos Corrientes – Pasivos Corrientes</w:t>
      </w:r>
    </w:p>
    <w:p w:rsidR="003C031A" w:rsidRPr="00C016DD" w:rsidRDefault="003C031A" w:rsidP="00640FCD">
      <w:pPr>
        <w:tabs>
          <w:tab w:val="left" w:pos="426"/>
        </w:tabs>
        <w:spacing w:after="0" w:line="240" w:lineRule="auto"/>
        <w:jc w:val="both"/>
        <w:rPr>
          <w:rFonts w:ascii="Century Gothic" w:hAnsi="Century Gothic"/>
        </w:rPr>
      </w:pPr>
    </w:p>
    <w:p w:rsidR="00640FCD" w:rsidRPr="00C016DD" w:rsidRDefault="00640FCD" w:rsidP="00640FCD">
      <w:pPr>
        <w:tabs>
          <w:tab w:val="left" w:pos="426"/>
        </w:tabs>
        <w:spacing w:after="0" w:line="240" w:lineRule="auto"/>
        <w:jc w:val="both"/>
        <w:rPr>
          <w:rFonts w:ascii="Century Gothic" w:hAnsi="Century Gothic"/>
        </w:rPr>
      </w:pPr>
    </w:p>
    <w:p w:rsidR="00807ED3" w:rsidRPr="00C016DD" w:rsidRDefault="00640FCD" w:rsidP="00807ED3">
      <w:pPr>
        <w:tabs>
          <w:tab w:val="left" w:pos="426"/>
        </w:tabs>
        <w:spacing w:after="0" w:line="240" w:lineRule="auto"/>
        <w:jc w:val="both"/>
        <w:rPr>
          <w:rFonts w:ascii="Century Gothic" w:hAnsi="Century Gothic"/>
        </w:rPr>
      </w:pPr>
      <w:r w:rsidRPr="00C016DD">
        <w:rPr>
          <w:rFonts w:ascii="Century Gothic" w:hAnsi="Century Gothic"/>
        </w:rPr>
        <w:tab/>
      </w:r>
      <w:r w:rsidRPr="00C016DD">
        <w:rPr>
          <w:rFonts w:ascii="Century Gothic" w:hAnsi="Century Gothic"/>
        </w:rPr>
        <w:tab/>
        <w:t>-</w:t>
      </w:r>
      <w:r w:rsidR="00807ED3" w:rsidRPr="00C016DD">
        <w:rPr>
          <w:rFonts w:ascii="Century Gothic" w:hAnsi="Century Gothic"/>
        </w:rPr>
        <w:t>$</w:t>
      </w:r>
      <w:r w:rsidR="00150EEC">
        <w:rPr>
          <w:rFonts w:ascii="Century Gothic" w:hAnsi="Century Gothic"/>
        </w:rPr>
        <w:t>1’2</w:t>
      </w:r>
      <w:r w:rsidR="006C560F">
        <w:rPr>
          <w:rFonts w:ascii="Century Gothic" w:hAnsi="Century Gothic"/>
        </w:rPr>
        <w:t>81</w:t>
      </w:r>
      <w:r w:rsidR="00150EEC">
        <w:rPr>
          <w:rFonts w:ascii="Century Gothic" w:hAnsi="Century Gothic"/>
        </w:rPr>
        <w:t>,</w:t>
      </w:r>
      <w:r w:rsidR="006C560F">
        <w:rPr>
          <w:rFonts w:ascii="Century Gothic" w:hAnsi="Century Gothic"/>
        </w:rPr>
        <w:t>584</w:t>
      </w:r>
      <w:r w:rsidR="00150EEC">
        <w:rPr>
          <w:rFonts w:ascii="Century Gothic" w:hAnsi="Century Gothic"/>
        </w:rPr>
        <w:t>.</w:t>
      </w:r>
      <w:r w:rsidR="006C560F">
        <w:rPr>
          <w:rFonts w:ascii="Century Gothic" w:hAnsi="Century Gothic"/>
        </w:rPr>
        <w:t>88</w:t>
      </w:r>
      <w:r w:rsidR="00807ED3" w:rsidRPr="00C016DD">
        <w:rPr>
          <w:rFonts w:ascii="Century Gothic" w:hAnsi="Century Gothic"/>
        </w:rPr>
        <w:t xml:space="preserve"> / $</w:t>
      </w:r>
      <w:r w:rsidR="006C560F">
        <w:rPr>
          <w:rFonts w:ascii="Century Gothic" w:hAnsi="Century Gothic"/>
        </w:rPr>
        <w:t>67’687</w:t>
      </w:r>
      <w:r w:rsidR="00354815" w:rsidRPr="00354815">
        <w:rPr>
          <w:rFonts w:ascii="Century Gothic" w:hAnsi="Century Gothic"/>
        </w:rPr>
        <w:t>,</w:t>
      </w:r>
      <w:r w:rsidR="006C560F">
        <w:rPr>
          <w:rFonts w:ascii="Century Gothic" w:hAnsi="Century Gothic"/>
        </w:rPr>
        <w:t>489</w:t>
      </w:r>
      <w:r w:rsidR="00354815" w:rsidRPr="00354815">
        <w:rPr>
          <w:rFonts w:ascii="Century Gothic" w:hAnsi="Century Gothic"/>
        </w:rPr>
        <w:t>.</w:t>
      </w:r>
      <w:r w:rsidR="006C560F">
        <w:rPr>
          <w:rFonts w:ascii="Century Gothic" w:hAnsi="Century Gothic"/>
        </w:rPr>
        <w:t>52</w:t>
      </w:r>
      <w:r w:rsidRPr="00C016DD">
        <w:rPr>
          <w:rFonts w:ascii="Century Gothic" w:hAnsi="Century Gothic"/>
        </w:rPr>
        <w:t xml:space="preserve"> - $</w:t>
      </w:r>
      <w:r w:rsidR="00B25CA8" w:rsidRPr="00C016DD">
        <w:rPr>
          <w:rFonts w:ascii="Century Gothic" w:hAnsi="Century Gothic"/>
        </w:rPr>
        <w:t>13’458,692.40</w:t>
      </w:r>
      <w:r w:rsidRPr="00C016DD">
        <w:rPr>
          <w:rFonts w:ascii="Century Gothic" w:hAnsi="Century Gothic"/>
        </w:rPr>
        <w:t xml:space="preserve"> </w:t>
      </w:r>
      <w:r w:rsidR="00807ED3" w:rsidRPr="00C016DD">
        <w:rPr>
          <w:rFonts w:ascii="Century Gothic" w:hAnsi="Century Gothic"/>
        </w:rPr>
        <w:t xml:space="preserve">= </w:t>
      </w:r>
      <w:r w:rsidRPr="00C016DD">
        <w:rPr>
          <w:rFonts w:ascii="Century Gothic" w:hAnsi="Century Gothic"/>
        </w:rPr>
        <w:t>Razón de rentabilidad</w:t>
      </w:r>
    </w:p>
    <w:p w:rsidR="00807ED3" w:rsidRPr="00C016DD" w:rsidRDefault="00640FCD" w:rsidP="00BD5E79">
      <w:pPr>
        <w:tabs>
          <w:tab w:val="left" w:pos="426"/>
        </w:tabs>
        <w:spacing w:after="0" w:line="240" w:lineRule="auto"/>
        <w:jc w:val="both"/>
        <w:rPr>
          <w:rFonts w:ascii="Century Gothic" w:hAnsi="Century Gothic"/>
        </w:rPr>
      </w:pPr>
      <w:r w:rsidRPr="00C016DD">
        <w:rPr>
          <w:rFonts w:ascii="Century Gothic" w:hAnsi="Century Gothic"/>
        </w:rPr>
        <w:tab/>
      </w:r>
      <w:r w:rsidRPr="00C016DD">
        <w:rPr>
          <w:rFonts w:ascii="Century Gothic" w:hAnsi="Century Gothic"/>
        </w:rPr>
        <w:tab/>
      </w:r>
      <w:r w:rsidRPr="00C016DD">
        <w:rPr>
          <w:rFonts w:ascii="Century Gothic" w:hAnsi="Century Gothic"/>
        </w:rPr>
        <w:tab/>
        <w:t>-$</w:t>
      </w:r>
      <w:r w:rsidR="00354815" w:rsidRPr="00354815">
        <w:rPr>
          <w:rFonts w:ascii="Century Gothic" w:hAnsi="Century Gothic"/>
        </w:rPr>
        <w:t>1’274,425.91</w:t>
      </w:r>
      <w:r w:rsidR="007919F5" w:rsidRPr="00C016DD">
        <w:rPr>
          <w:rFonts w:ascii="Century Gothic" w:hAnsi="Century Gothic"/>
        </w:rPr>
        <w:t xml:space="preserve"> </w:t>
      </w:r>
      <w:r w:rsidR="002F3FE7">
        <w:rPr>
          <w:rFonts w:ascii="Century Gothic" w:hAnsi="Century Gothic"/>
        </w:rPr>
        <w:t xml:space="preserve"> / </w:t>
      </w:r>
      <w:r w:rsidRPr="00C016DD">
        <w:rPr>
          <w:rFonts w:ascii="Century Gothic" w:hAnsi="Century Gothic"/>
        </w:rPr>
        <w:t>$</w:t>
      </w:r>
      <w:r w:rsidR="002F3FE7">
        <w:rPr>
          <w:rFonts w:ascii="Century Gothic" w:hAnsi="Century Gothic"/>
        </w:rPr>
        <w:t>54’2</w:t>
      </w:r>
      <w:r w:rsidR="006C560F">
        <w:rPr>
          <w:rFonts w:ascii="Century Gothic" w:hAnsi="Century Gothic"/>
        </w:rPr>
        <w:t>28</w:t>
      </w:r>
      <w:r w:rsidR="002F3FE7">
        <w:rPr>
          <w:rFonts w:ascii="Century Gothic" w:hAnsi="Century Gothic"/>
        </w:rPr>
        <w:t>,</w:t>
      </w:r>
      <w:r w:rsidR="006C560F">
        <w:rPr>
          <w:rFonts w:ascii="Century Gothic" w:hAnsi="Century Gothic"/>
        </w:rPr>
        <w:t>797</w:t>
      </w:r>
      <w:r w:rsidR="002F3FE7">
        <w:rPr>
          <w:rFonts w:ascii="Century Gothic" w:hAnsi="Century Gothic"/>
        </w:rPr>
        <w:t>.</w:t>
      </w:r>
      <w:r w:rsidR="006C560F">
        <w:rPr>
          <w:rFonts w:ascii="Century Gothic" w:hAnsi="Century Gothic"/>
        </w:rPr>
        <w:t>12</w:t>
      </w:r>
      <w:r w:rsidRPr="00C016DD">
        <w:rPr>
          <w:rFonts w:ascii="Century Gothic" w:hAnsi="Century Gothic"/>
        </w:rPr>
        <w:t xml:space="preserve"> = -0.</w:t>
      </w:r>
      <w:r w:rsidR="002F3FE7">
        <w:rPr>
          <w:rFonts w:ascii="Century Gothic" w:hAnsi="Century Gothic"/>
        </w:rPr>
        <w:t>0</w:t>
      </w:r>
      <w:r w:rsidR="00472DC5">
        <w:rPr>
          <w:rFonts w:ascii="Century Gothic" w:hAnsi="Century Gothic"/>
        </w:rPr>
        <w:t>2</w:t>
      </w:r>
    </w:p>
    <w:p w:rsidR="00B94EC6" w:rsidRPr="00C016DD" w:rsidRDefault="00B94EC6" w:rsidP="00BD5E79">
      <w:pPr>
        <w:tabs>
          <w:tab w:val="left" w:pos="426"/>
        </w:tabs>
        <w:spacing w:after="0" w:line="240" w:lineRule="auto"/>
        <w:jc w:val="both"/>
        <w:rPr>
          <w:rFonts w:ascii="Century Gothic" w:hAnsi="Century Gothic"/>
        </w:rPr>
      </w:pPr>
    </w:p>
    <w:p w:rsidR="00B94EC6" w:rsidRPr="00C016DD" w:rsidRDefault="00B94EC6" w:rsidP="00BD5E79">
      <w:pPr>
        <w:tabs>
          <w:tab w:val="left" w:pos="426"/>
        </w:tabs>
        <w:spacing w:after="0" w:line="240" w:lineRule="auto"/>
        <w:jc w:val="both"/>
        <w:rPr>
          <w:rFonts w:ascii="Century Gothic" w:hAnsi="Century Gothic"/>
        </w:rPr>
      </w:pPr>
    </w:p>
    <w:p w:rsidR="002C29B4" w:rsidRDefault="0092121C" w:rsidP="00BD5E79">
      <w:pPr>
        <w:tabs>
          <w:tab w:val="left" w:pos="426"/>
        </w:tabs>
        <w:spacing w:after="0" w:line="240" w:lineRule="auto"/>
        <w:jc w:val="both"/>
        <w:rPr>
          <w:rFonts w:ascii="Century Gothic" w:hAnsi="Century Gothic"/>
        </w:rPr>
      </w:pPr>
      <w:r w:rsidRPr="0092121C">
        <w:rPr>
          <w:rFonts w:ascii="Century Gothic" w:hAnsi="Century Gothic"/>
        </w:rPr>
        <w:t>“Bajo protesta de decir verdad declaramos que los Estados Financieros y sus notas, son razonablemente correctos y son responsabilidad del emisor”</w:t>
      </w:r>
    </w:p>
    <w:p w:rsidR="0092121C" w:rsidRDefault="0092121C" w:rsidP="00BD5E79">
      <w:pPr>
        <w:tabs>
          <w:tab w:val="left" w:pos="426"/>
        </w:tabs>
        <w:spacing w:after="0" w:line="240" w:lineRule="auto"/>
        <w:jc w:val="both"/>
        <w:rPr>
          <w:rFonts w:ascii="Century Gothic" w:hAnsi="Century Gothic"/>
        </w:rPr>
      </w:pPr>
    </w:p>
    <w:p w:rsidR="0092121C" w:rsidRDefault="0092121C" w:rsidP="00BD5E79">
      <w:pPr>
        <w:tabs>
          <w:tab w:val="left" w:pos="426"/>
        </w:tabs>
        <w:spacing w:after="0" w:line="240" w:lineRule="auto"/>
        <w:jc w:val="both"/>
        <w:rPr>
          <w:rFonts w:ascii="Century Gothic" w:hAnsi="Century Gothic"/>
        </w:rPr>
      </w:pPr>
    </w:p>
    <w:p w:rsidR="0092121C" w:rsidRPr="00C016DD" w:rsidRDefault="0092121C" w:rsidP="00BD5E79">
      <w:pPr>
        <w:tabs>
          <w:tab w:val="left" w:pos="426"/>
        </w:tabs>
        <w:spacing w:after="0" w:line="240" w:lineRule="auto"/>
        <w:jc w:val="both"/>
        <w:rPr>
          <w:rFonts w:ascii="Century Gothic" w:hAnsi="Century Gothic"/>
        </w:rPr>
      </w:pPr>
    </w:p>
    <w:p w:rsidR="003C031A" w:rsidRPr="00C016DD" w:rsidRDefault="003C031A" w:rsidP="00BD5E79">
      <w:pPr>
        <w:tabs>
          <w:tab w:val="left" w:pos="426"/>
        </w:tabs>
        <w:spacing w:after="0" w:line="240" w:lineRule="auto"/>
        <w:jc w:val="both"/>
        <w:rPr>
          <w:rFonts w:ascii="Century Gothic" w:hAnsi="Century Gothic"/>
        </w:rPr>
      </w:pPr>
    </w:p>
    <w:p w:rsidR="003C031A" w:rsidRPr="00C016DD" w:rsidRDefault="003C031A" w:rsidP="00BD5E79">
      <w:pPr>
        <w:tabs>
          <w:tab w:val="left" w:pos="426"/>
        </w:tabs>
        <w:spacing w:after="0" w:line="240" w:lineRule="auto"/>
        <w:jc w:val="both"/>
        <w:rPr>
          <w:rFonts w:ascii="Century Gothic" w:hAnsi="Century Gothic"/>
        </w:rPr>
      </w:pPr>
    </w:p>
    <w:p w:rsidR="006C560F" w:rsidRDefault="003C031A" w:rsidP="006C560F">
      <w:pPr>
        <w:tabs>
          <w:tab w:val="left" w:pos="426"/>
        </w:tabs>
        <w:spacing w:after="0" w:line="240" w:lineRule="auto"/>
        <w:jc w:val="center"/>
        <w:rPr>
          <w:rFonts w:ascii="Century Gothic" w:hAnsi="Century Gothic"/>
        </w:rPr>
      </w:pPr>
      <w:r w:rsidRPr="00C016DD">
        <w:rPr>
          <w:rFonts w:ascii="Century Gothic" w:hAnsi="Century Gothic"/>
        </w:rPr>
        <w:t>__________________________</w:t>
      </w:r>
    </w:p>
    <w:p w:rsidR="006C560F" w:rsidRDefault="006C560F" w:rsidP="006C560F">
      <w:pPr>
        <w:tabs>
          <w:tab w:val="left" w:pos="426"/>
        </w:tabs>
        <w:spacing w:after="0" w:line="240" w:lineRule="auto"/>
        <w:jc w:val="center"/>
        <w:rPr>
          <w:rFonts w:ascii="Century Gothic" w:hAnsi="Century Gothic"/>
        </w:rPr>
      </w:pPr>
      <w:r>
        <w:rPr>
          <w:rFonts w:ascii="Century Gothic" w:hAnsi="Century Gothic"/>
        </w:rPr>
        <w:t>MTRA. MONICA SALINAS MORA</w:t>
      </w:r>
    </w:p>
    <w:p w:rsidR="00F46D18" w:rsidRPr="00F610EC" w:rsidRDefault="006C560F" w:rsidP="006C560F">
      <w:pPr>
        <w:tabs>
          <w:tab w:val="left" w:pos="426"/>
        </w:tabs>
        <w:spacing w:after="0" w:line="240" w:lineRule="auto"/>
        <w:jc w:val="center"/>
        <w:rPr>
          <w:rFonts w:ascii="Century Gothic" w:hAnsi="Century Gothic"/>
        </w:rPr>
      </w:pPr>
      <w:r>
        <w:rPr>
          <w:rFonts w:ascii="Century Gothic" w:hAnsi="Century Gothic"/>
        </w:rPr>
        <w:t>Secretaria Técnica del Comité Técnic</w:t>
      </w:r>
      <w:r w:rsidR="00615F25">
        <w:rPr>
          <w:rFonts w:ascii="Century Gothic" w:hAnsi="Century Gothic"/>
        </w:rPr>
        <w:t>o</w:t>
      </w:r>
    </w:p>
    <w:sectPr w:rsidR="00F46D18" w:rsidRPr="00F610EC" w:rsidSect="00685C38">
      <w:headerReference w:type="default" r:id="rId9"/>
      <w:footerReference w:type="default" r:id="rId10"/>
      <w:pgSz w:w="12240" w:h="15840"/>
      <w:pgMar w:top="1135" w:right="1701" w:bottom="993" w:left="1701" w:header="284" w:footer="1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B42" w:rsidRDefault="00472B42" w:rsidP="009D0735">
      <w:pPr>
        <w:spacing w:after="0" w:line="240" w:lineRule="auto"/>
      </w:pPr>
      <w:r>
        <w:separator/>
      </w:r>
    </w:p>
  </w:endnote>
  <w:endnote w:type="continuationSeparator" w:id="0">
    <w:p w:rsidR="00472B42" w:rsidRDefault="00472B42" w:rsidP="009D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148998"/>
      <w:docPartObj>
        <w:docPartGallery w:val="Page Numbers (Bottom of Page)"/>
        <w:docPartUnique/>
      </w:docPartObj>
    </w:sdtPr>
    <w:sdtEndPr/>
    <w:sdtContent>
      <w:sdt>
        <w:sdtPr>
          <w:id w:val="860082579"/>
          <w:docPartObj>
            <w:docPartGallery w:val="Page Numbers (Top of Page)"/>
            <w:docPartUnique/>
          </w:docPartObj>
        </w:sdtPr>
        <w:sdtEndPr/>
        <w:sdtContent>
          <w:p w:rsidR="00BB6961" w:rsidRDefault="00BB6961" w:rsidP="00A47E99">
            <w:pPr>
              <w:pStyle w:val="Piedepgina"/>
            </w:pPr>
            <w:r w:rsidRPr="00AC4FB7">
              <w:rPr>
                <w:rFonts w:ascii="Calibri" w:eastAsia="Calibri" w:hAnsi="Calibri" w:cs="Times New Roman"/>
                <w:noProof/>
                <w:lang w:eastAsia="es-MX"/>
              </w:rPr>
              <w:drawing>
                <wp:anchor distT="0" distB="0" distL="114300" distR="114300" simplePos="0" relativeHeight="251659264" behindDoc="1" locked="0" layoutInCell="1" allowOverlap="1" wp14:anchorId="242E94D8" wp14:editId="2A10E0E3">
                  <wp:simplePos x="0" y="0"/>
                  <wp:positionH relativeFrom="column">
                    <wp:posOffset>5701665</wp:posOffset>
                  </wp:positionH>
                  <wp:positionV relativeFrom="paragraph">
                    <wp:posOffset>10795</wp:posOffset>
                  </wp:positionV>
                  <wp:extent cx="520700" cy="558800"/>
                  <wp:effectExtent l="0" t="0" r="0" b="0"/>
                  <wp:wrapNone/>
                  <wp:docPr id="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42.png"/>
                          <pic:cNvPicPr>
                            <a:picLocks noChangeAspect="1"/>
                          </pic:cNvPicPr>
                        </pic:nvPicPr>
                        <pic:blipFill rotWithShape="1">
                          <a:blip r:embed="rId1">
                            <a:extLst>
                              <a:ext uri="{28A0092B-C50C-407E-A947-70E740481C1C}">
                                <a14:useLocalDpi xmlns:a14="http://schemas.microsoft.com/office/drawing/2010/main" val="0"/>
                              </a:ext>
                            </a:extLst>
                          </a:blip>
                          <a:srcRect l="15126" t="38130"/>
                          <a:stretch/>
                        </pic:blipFill>
                        <pic:spPr bwMode="auto">
                          <a:xfrm>
                            <a:off x="0" y="0"/>
                            <a:ext cx="520700" cy="55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Rayón 140  Col. Centro  C. P. 58000  Morelia, Michoacán  Tel. (443)313 33 89</w:t>
            </w:r>
          </w:p>
          <w:p w:rsidR="00BB6961" w:rsidRDefault="00BB6961" w:rsidP="00A47E99">
            <w:pPr>
              <w:pStyle w:val="Piedepgina"/>
            </w:pPr>
            <w:r>
              <w:t xml:space="preserve">                            </w:t>
            </w:r>
            <w:hyperlink r:id="rId2" w:history="1">
              <w:r w:rsidRPr="00704F35">
                <w:rPr>
                  <w:rStyle w:val="Hipervnculo"/>
                </w:rPr>
                <w:t>teatromarianomatamoros@gmail.com</w:t>
              </w:r>
            </w:hyperlink>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B06D0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06D03">
              <w:rPr>
                <w:b/>
                <w:bCs/>
                <w:noProof/>
              </w:rPr>
              <w:t>12</w:t>
            </w:r>
            <w:r>
              <w:rPr>
                <w:b/>
                <w:bCs/>
                <w:sz w:val="24"/>
                <w:szCs w:val="24"/>
              </w:rPr>
              <w:fldChar w:fldCharType="end"/>
            </w:r>
          </w:p>
        </w:sdtContent>
      </w:sdt>
    </w:sdtContent>
  </w:sdt>
  <w:p w:rsidR="00BB6961" w:rsidRDefault="00BB69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B42" w:rsidRDefault="00472B42" w:rsidP="009D0735">
      <w:pPr>
        <w:spacing w:after="0" w:line="240" w:lineRule="auto"/>
      </w:pPr>
      <w:r>
        <w:separator/>
      </w:r>
    </w:p>
  </w:footnote>
  <w:footnote w:type="continuationSeparator" w:id="0">
    <w:p w:rsidR="00472B42" w:rsidRDefault="00472B42" w:rsidP="009D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61" w:rsidRDefault="00BB6961" w:rsidP="00A47E99">
    <w:pPr>
      <w:pStyle w:val="Encabezado"/>
      <w:jc w:val="center"/>
    </w:pPr>
    <w:r>
      <w:t>FIDEICOMISO 106769-7</w:t>
    </w:r>
  </w:p>
  <w:p w:rsidR="00BB6961" w:rsidRDefault="00BB6961" w:rsidP="00A47E99">
    <w:pPr>
      <w:pStyle w:val="Encabezado"/>
      <w:jc w:val="center"/>
    </w:pPr>
    <w:r>
      <w:t>TEATRO MARIANO MATAMOROS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5FAD"/>
    <w:multiLevelType w:val="hybridMultilevel"/>
    <w:tmpl w:val="AE42C1DE"/>
    <w:lvl w:ilvl="0" w:tplc="CEF65A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6E5CEC"/>
    <w:multiLevelType w:val="hybridMultilevel"/>
    <w:tmpl w:val="963AD730"/>
    <w:lvl w:ilvl="0" w:tplc="2EB2B176">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nsid w:val="096C28F4"/>
    <w:multiLevelType w:val="hybridMultilevel"/>
    <w:tmpl w:val="262A859A"/>
    <w:lvl w:ilvl="0" w:tplc="319EE7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3B3275"/>
    <w:multiLevelType w:val="hybridMultilevel"/>
    <w:tmpl w:val="0B040222"/>
    <w:lvl w:ilvl="0" w:tplc="59268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89A0242"/>
    <w:multiLevelType w:val="hybridMultilevel"/>
    <w:tmpl w:val="74623BF4"/>
    <w:lvl w:ilvl="0" w:tplc="3B06A6D2">
      <w:start w:val="1"/>
      <w:numFmt w:val="decimal"/>
      <w:lvlText w:val="%1."/>
      <w:lvlJc w:val="left"/>
      <w:pPr>
        <w:ind w:left="780" w:hanging="36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nsid w:val="64281BBD"/>
    <w:multiLevelType w:val="hybridMultilevel"/>
    <w:tmpl w:val="E55ED46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E1A3632"/>
    <w:multiLevelType w:val="hybridMultilevel"/>
    <w:tmpl w:val="2F7ABB2E"/>
    <w:lvl w:ilvl="0" w:tplc="D9F2B5D4">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5"/>
  </w:num>
  <w:num w:numId="2">
    <w:abstractNumId w:val="2"/>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F9"/>
    <w:rsid w:val="00006462"/>
    <w:rsid w:val="00011D0A"/>
    <w:rsid w:val="00013F10"/>
    <w:rsid w:val="000170EB"/>
    <w:rsid w:val="00022A53"/>
    <w:rsid w:val="00023A7E"/>
    <w:rsid w:val="000248BB"/>
    <w:rsid w:val="00030B7B"/>
    <w:rsid w:val="000317DC"/>
    <w:rsid w:val="00032310"/>
    <w:rsid w:val="00042BC0"/>
    <w:rsid w:val="00045474"/>
    <w:rsid w:val="0004779A"/>
    <w:rsid w:val="00056CD5"/>
    <w:rsid w:val="00060F5B"/>
    <w:rsid w:val="0006142B"/>
    <w:rsid w:val="00064A7D"/>
    <w:rsid w:val="00071B9D"/>
    <w:rsid w:val="00074C57"/>
    <w:rsid w:val="00075452"/>
    <w:rsid w:val="00077367"/>
    <w:rsid w:val="00082FE1"/>
    <w:rsid w:val="00086775"/>
    <w:rsid w:val="000934E2"/>
    <w:rsid w:val="000957A4"/>
    <w:rsid w:val="000A12EE"/>
    <w:rsid w:val="000A3055"/>
    <w:rsid w:val="000A7FEA"/>
    <w:rsid w:val="000B080E"/>
    <w:rsid w:val="000B2E1D"/>
    <w:rsid w:val="000B3348"/>
    <w:rsid w:val="000B64CD"/>
    <w:rsid w:val="000C01DA"/>
    <w:rsid w:val="000C5973"/>
    <w:rsid w:val="000C7223"/>
    <w:rsid w:val="000C7E04"/>
    <w:rsid w:val="000D097F"/>
    <w:rsid w:val="000D1C37"/>
    <w:rsid w:val="000D1E14"/>
    <w:rsid w:val="000E7352"/>
    <w:rsid w:val="000F0255"/>
    <w:rsid w:val="000F0D0D"/>
    <w:rsid w:val="000F4BF3"/>
    <w:rsid w:val="00100BF8"/>
    <w:rsid w:val="00100DEB"/>
    <w:rsid w:val="0010395C"/>
    <w:rsid w:val="001123E8"/>
    <w:rsid w:val="00112D97"/>
    <w:rsid w:val="001150B4"/>
    <w:rsid w:val="00117F54"/>
    <w:rsid w:val="00120315"/>
    <w:rsid w:val="001210BE"/>
    <w:rsid w:val="0012652A"/>
    <w:rsid w:val="00130F55"/>
    <w:rsid w:val="00131E5A"/>
    <w:rsid w:val="00134C2D"/>
    <w:rsid w:val="00135DF3"/>
    <w:rsid w:val="00136A99"/>
    <w:rsid w:val="001419B9"/>
    <w:rsid w:val="00150EEC"/>
    <w:rsid w:val="001604D3"/>
    <w:rsid w:val="00165ECC"/>
    <w:rsid w:val="00167460"/>
    <w:rsid w:val="00167C6B"/>
    <w:rsid w:val="00167CDC"/>
    <w:rsid w:val="00172523"/>
    <w:rsid w:val="00176F40"/>
    <w:rsid w:val="00180827"/>
    <w:rsid w:val="00193731"/>
    <w:rsid w:val="0019487E"/>
    <w:rsid w:val="00194EC2"/>
    <w:rsid w:val="00195409"/>
    <w:rsid w:val="001A1C78"/>
    <w:rsid w:val="001A1E43"/>
    <w:rsid w:val="001A1E57"/>
    <w:rsid w:val="001A5085"/>
    <w:rsid w:val="001B0762"/>
    <w:rsid w:val="001B1E13"/>
    <w:rsid w:val="001C120A"/>
    <w:rsid w:val="001C1D2B"/>
    <w:rsid w:val="001C53E6"/>
    <w:rsid w:val="001D5333"/>
    <w:rsid w:val="001D6208"/>
    <w:rsid w:val="001E0AC2"/>
    <w:rsid w:val="001E0CB5"/>
    <w:rsid w:val="001E14E4"/>
    <w:rsid w:val="001E3105"/>
    <w:rsid w:val="001E747F"/>
    <w:rsid w:val="001F2AD2"/>
    <w:rsid w:val="001F5E4F"/>
    <w:rsid w:val="00200C28"/>
    <w:rsid w:val="00201B59"/>
    <w:rsid w:val="00202310"/>
    <w:rsid w:val="0020499F"/>
    <w:rsid w:val="00212D2F"/>
    <w:rsid w:val="00212E20"/>
    <w:rsid w:val="00220CB2"/>
    <w:rsid w:val="00220ED5"/>
    <w:rsid w:val="002211CC"/>
    <w:rsid w:val="00222FB9"/>
    <w:rsid w:val="002302B8"/>
    <w:rsid w:val="00231A6C"/>
    <w:rsid w:val="00231D76"/>
    <w:rsid w:val="00236B3B"/>
    <w:rsid w:val="00237DD6"/>
    <w:rsid w:val="0024194C"/>
    <w:rsid w:val="002472FB"/>
    <w:rsid w:val="00247D57"/>
    <w:rsid w:val="00250885"/>
    <w:rsid w:val="00253A35"/>
    <w:rsid w:val="00254C7E"/>
    <w:rsid w:val="00255047"/>
    <w:rsid w:val="002550E6"/>
    <w:rsid w:val="0025748C"/>
    <w:rsid w:val="002703ED"/>
    <w:rsid w:val="00270972"/>
    <w:rsid w:val="0027604F"/>
    <w:rsid w:val="00292251"/>
    <w:rsid w:val="002A0B1E"/>
    <w:rsid w:val="002A0CD7"/>
    <w:rsid w:val="002A1480"/>
    <w:rsid w:val="002A43F8"/>
    <w:rsid w:val="002B1503"/>
    <w:rsid w:val="002B553A"/>
    <w:rsid w:val="002B5746"/>
    <w:rsid w:val="002B77A9"/>
    <w:rsid w:val="002C29B4"/>
    <w:rsid w:val="002C3D3C"/>
    <w:rsid w:val="002D46E9"/>
    <w:rsid w:val="002D6467"/>
    <w:rsid w:val="002E689B"/>
    <w:rsid w:val="002E6F16"/>
    <w:rsid w:val="002F2A1D"/>
    <w:rsid w:val="002F31D9"/>
    <w:rsid w:val="002F33E4"/>
    <w:rsid w:val="002F3FE7"/>
    <w:rsid w:val="0030080C"/>
    <w:rsid w:val="00304DBD"/>
    <w:rsid w:val="0030508A"/>
    <w:rsid w:val="00312AA2"/>
    <w:rsid w:val="003172F8"/>
    <w:rsid w:val="00317F18"/>
    <w:rsid w:val="00330717"/>
    <w:rsid w:val="003335D5"/>
    <w:rsid w:val="003478F7"/>
    <w:rsid w:val="003526E1"/>
    <w:rsid w:val="00354815"/>
    <w:rsid w:val="00356770"/>
    <w:rsid w:val="003611A3"/>
    <w:rsid w:val="00361DFA"/>
    <w:rsid w:val="00363CA9"/>
    <w:rsid w:val="003711CF"/>
    <w:rsid w:val="00383E47"/>
    <w:rsid w:val="003842CC"/>
    <w:rsid w:val="00384F9B"/>
    <w:rsid w:val="00386687"/>
    <w:rsid w:val="00390A0B"/>
    <w:rsid w:val="00393971"/>
    <w:rsid w:val="00395C5E"/>
    <w:rsid w:val="003A0D24"/>
    <w:rsid w:val="003A1952"/>
    <w:rsid w:val="003A216D"/>
    <w:rsid w:val="003A4845"/>
    <w:rsid w:val="003A5C5E"/>
    <w:rsid w:val="003B18D6"/>
    <w:rsid w:val="003B2860"/>
    <w:rsid w:val="003B4A0A"/>
    <w:rsid w:val="003C031A"/>
    <w:rsid w:val="003C1BAB"/>
    <w:rsid w:val="003C4641"/>
    <w:rsid w:val="003C6DE6"/>
    <w:rsid w:val="003D5976"/>
    <w:rsid w:val="003E33EE"/>
    <w:rsid w:val="003E56F2"/>
    <w:rsid w:val="003E61BB"/>
    <w:rsid w:val="003F6216"/>
    <w:rsid w:val="003F6694"/>
    <w:rsid w:val="00400DAD"/>
    <w:rsid w:val="00401127"/>
    <w:rsid w:val="0040471C"/>
    <w:rsid w:val="004105B5"/>
    <w:rsid w:val="00411437"/>
    <w:rsid w:val="00412BF0"/>
    <w:rsid w:val="00421BEF"/>
    <w:rsid w:val="00422E4A"/>
    <w:rsid w:val="00424580"/>
    <w:rsid w:val="00430D9B"/>
    <w:rsid w:val="00437501"/>
    <w:rsid w:val="00444D49"/>
    <w:rsid w:val="00446139"/>
    <w:rsid w:val="00447D07"/>
    <w:rsid w:val="004508B0"/>
    <w:rsid w:val="00451A1A"/>
    <w:rsid w:val="00455395"/>
    <w:rsid w:val="004602A9"/>
    <w:rsid w:val="00461BB9"/>
    <w:rsid w:val="00462597"/>
    <w:rsid w:val="00463D3D"/>
    <w:rsid w:val="00472B42"/>
    <w:rsid w:val="00472DC5"/>
    <w:rsid w:val="0048187A"/>
    <w:rsid w:val="004836EF"/>
    <w:rsid w:val="0049227E"/>
    <w:rsid w:val="004930FE"/>
    <w:rsid w:val="0049464F"/>
    <w:rsid w:val="00496949"/>
    <w:rsid w:val="00496ABE"/>
    <w:rsid w:val="004A0440"/>
    <w:rsid w:val="004A057B"/>
    <w:rsid w:val="004A3BBB"/>
    <w:rsid w:val="004A5039"/>
    <w:rsid w:val="004A71D4"/>
    <w:rsid w:val="004A73B3"/>
    <w:rsid w:val="004B23FA"/>
    <w:rsid w:val="004B3855"/>
    <w:rsid w:val="004B3C78"/>
    <w:rsid w:val="004B72A1"/>
    <w:rsid w:val="004C4DD9"/>
    <w:rsid w:val="004C5CF2"/>
    <w:rsid w:val="004C5EA4"/>
    <w:rsid w:val="004D1E26"/>
    <w:rsid w:val="004D2009"/>
    <w:rsid w:val="004D3DD6"/>
    <w:rsid w:val="004D52DF"/>
    <w:rsid w:val="004D79AC"/>
    <w:rsid w:val="004E3EF2"/>
    <w:rsid w:val="004E4820"/>
    <w:rsid w:val="004E5906"/>
    <w:rsid w:val="004E6B43"/>
    <w:rsid w:val="0050721F"/>
    <w:rsid w:val="00507C75"/>
    <w:rsid w:val="00510B65"/>
    <w:rsid w:val="005115DC"/>
    <w:rsid w:val="005143D7"/>
    <w:rsid w:val="005324D8"/>
    <w:rsid w:val="00536336"/>
    <w:rsid w:val="00544737"/>
    <w:rsid w:val="005454D2"/>
    <w:rsid w:val="00553764"/>
    <w:rsid w:val="005545C2"/>
    <w:rsid w:val="00554814"/>
    <w:rsid w:val="0055657A"/>
    <w:rsid w:val="0056464D"/>
    <w:rsid w:val="00565133"/>
    <w:rsid w:val="00566C24"/>
    <w:rsid w:val="0057216A"/>
    <w:rsid w:val="00572711"/>
    <w:rsid w:val="00576A46"/>
    <w:rsid w:val="0058050B"/>
    <w:rsid w:val="00580787"/>
    <w:rsid w:val="005854FC"/>
    <w:rsid w:val="005862FB"/>
    <w:rsid w:val="00596D34"/>
    <w:rsid w:val="005A366B"/>
    <w:rsid w:val="005A46E4"/>
    <w:rsid w:val="005B09AE"/>
    <w:rsid w:val="005B170B"/>
    <w:rsid w:val="005B457C"/>
    <w:rsid w:val="005B4D00"/>
    <w:rsid w:val="005B51DB"/>
    <w:rsid w:val="005B682C"/>
    <w:rsid w:val="005B6A0D"/>
    <w:rsid w:val="005C1261"/>
    <w:rsid w:val="005C3197"/>
    <w:rsid w:val="005C7F74"/>
    <w:rsid w:val="005D4F35"/>
    <w:rsid w:val="005E1CCE"/>
    <w:rsid w:val="005E1F11"/>
    <w:rsid w:val="005E2F27"/>
    <w:rsid w:val="005F3DED"/>
    <w:rsid w:val="006028B2"/>
    <w:rsid w:val="006040C9"/>
    <w:rsid w:val="006125B0"/>
    <w:rsid w:val="00613C42"/>
    <w:rsid w:val="00613D4D"/>
    <w:rsid w:val="00615F25"/>
    <w:rsid w:val="00617E53"/>
    <w:rsid w:val="00622491"/>
    <w:rsid w:val="006275E5"/>
    <w:rsid w:val="006318DA"/>
    <w:rsid w:val="00631E9A"/>
    <w:rsid w:val="006327CF"/>
    <w:rsid w:val="00632BEB"/>
    <w:rsid w:val="006367BB"/>
    <w:rsid w:val="00636F36"/>
    <w:rsid w:val="00640FCD"/>
    <w:rsid w:val="00642C0D"/>
    <w:rsid w:val="00650FEC"/>
    <w:rsid w:val="006529E6"/>
    <w:rsid w:val="0065467B"/>
    <w:rsid w:val="00656DDD"/>
    <w:rsid w:val="006604B7"/>
    <w:rsid w:val="00662187"/>
    <w:rsid w:val="006715C5"/>
    <w:rsid w:val="006768AF"/>
    <w:rsid w:val="006807F9"/>
    <w:rsid w:val="00681A7E"/>
    <w:rsid w:val="00682B0D"/>
    <w:rsid w:val="00685C38"/>
    <w:rsid w:val="00687EC1"/>
    <w:rsid w:val="006906D8"/>
    <w:rsid w:val="006917A5"/>
    <w:rsid w:val="0069341D"/>
    <w:rsid w:val="00696CED"/>
    <w:rsid w:val="006A04AB"/>
    <w:rsid w:val="006A74A8"/>
    <w:rsid w:val="006A7A27"/>
    <w:rsid w:val="006B064F"/>
    <w:rsid w:val="006B3DC8"/>
    <w:rsid w:val="006B62DA"/>
    <w:rsid w:val="006B7891"/>
    <w:rsid w:val="006C560F"/>
    <w:rsid w:val="006C62D0"/>
    <w:rsid w:val="006F430F"/>
    <w:rsid w:val="006F5778"/>
    <w:rsid w:val="006F5FCA"/>
    <w:rsid w:val="007079FC"/>
    <w:rsid w:val="0071031E"/>
    <w:rsid w:val="007109A1"/>
    <w:rsid w:val="00715CDF"/>
    <w:rsid w:val="00716A63"/>
    <w:rsid w:val="00720070"/>
    <w:rsid w:val="00725F07"/>
    <w:rsid w:val="007307D7"/>
    <w:rsid w:val="00731464"/>
    <w:rsid w:val="00732229"/>
    <w:rsid w:val="0073286E"/>
    <w:rsid w:val="007329A0"/>
    <w:rsid w:val="00732D67"/>
    <w:rsid w:val="00733A1E"/>
    <w:rsid w:val="0074003B"/>
    <w:rsid w:val="00752986"/>
    <w:rsid w:val="00755290"/>
    <w:rsid w:val="00764E50"/>
    <w:rsid w:val="00767FF4"/>
    <w:rsid w:val="00770A49"/>
    <w:rsid w:val="00775808"/>
    <w:rsid w:val="007758ED"/>
    <w:rsid w:val="00782E65"/>
    <w:rsid w:val="00783FA4"/>
    <w:rsid w:val="007852F5"/>
    <w:rsid w:val="0078753C"/>
    <w:rsid w:val="00790233"/>
    <w:rsid w:val="007916F1"/>
    <w:rsid w:val="007919F5"/>
    <w:rsid w:val="007930F2"/>
    <w:rsid w:val="00793EE4"/>
    <w:rsid w:val="007A150A"/>
    <w:rsid w:val="007A200E"/>
    <w:rsid w:val="007A3389"/>
    <w:rsid w:val="007A66D4"/>
    <w:rsid w:val="007B52ED"/>
    <w:rsid w:val="007C75A8"/>
    <w:rsid w:val="007C7CB0"/>
    <w:rsid w:val="007D431C"/>
    <w:rsid w:val="007D5802"/>
    <w:rsid w:val="007E1A79"/>
    <w:rsid w:val="007E1BFB"/>
    <w:rsid w:val="008002B2"/>
    <w:rsid w:val="0080107E"/>
    <w:rsid w:val="008019F0"/>
    <w:rsid w:val="00804401"/>
    <w:rsid w:val="008051D2"/>
    <w:rsid w:val="00807ED3"/>
    <w:rsid w:val="00827C7E"/>
    <w:rsid w:val="00830B0E"/>
    <w:rsid w:val="0083236D"/>
    <w:rsid w:val="00836E22"/>
    <w:rsid w:val="00837EB9"/>
    <w:rsid w:val="00842746"/>
    <w:rsid w:val="0084520B"/>
    <w:rsid w:val="00846F98"/>
    <w:rsid w:val="00852056"/>
    <w:rsid w:val="0085225D"/>
    <w:rsid w:val="008620EB"/>
    <w:rsid w:val="00866DC4"/>
    <w:rsid w:val="008711ED"/>
    <w:rsid w:val="00871E6E"/>
    <w:rsid w:val="008730FD"/>
    <w:rsid w:val="00874E27"/>
    <w:rsid w:val="00880B0E"/>
    <w:rsid w:val="00880FB2"/>
    <w:rsid w:val="008814C7"/>
    <w:rsid w:val="00881B31"/>
    <w:rsid w:val="00882A3F"/>
    <w:rsid w:val="00886DC9"/>
    <w:rsid w:val="00894517"/>
    <w:rsid w:val="008A1B06"/>
    <w:rsid w:val="008A2B8B"/>
    <w:rsid w:val="008A3B30"/>
    <w:rsid w:val="008A3F1E"/>
    <w:rsid w:val="008A5576"/>
    <w:rsid w:val="008B4E6A"/>
    <w:rsid w:val="008B74F0"/>
    <w:rsid w:val="008C67D7"/>
    <w:rsid w:val="008D03BE"/>
    <w:rsid w:val="008D0C2F"/>
    <w:rsid w:val="008E0816"/>
    <w:rsid w:val="008E1669"/>
    <w:rsid w:val="008F66CB"/>
    <w:rsid w:val="00900407"/>
    <w:rsid w:val="009018D4"/>
    <w:rsid w:val="00905EF4"/>
    <w:rsid w:val="009077B4"/>
    <w:rsid w:val="009172A9"/>
    <w:rsid w:val="00917486"/>
    <w:rsid w:val="0092121C"/>
    <w:rsid w:val="00925558"/>
    <w:rsid w:val="00926A83"/>
    <w:rsid w:val="00926C57"/>
    <w:rsid w:val="00930973"/>
    <w:rsid w:val="00936335"/>
    <w:rsid w:val="00937749"/>
    <w:rsid w:val="009438B5"/>
    <w:rsid w:val="00944B02"/>
    <w:rsid w:val="00945123"/>
    <w:rsid w:val="00950583"/>
    <w:rsid w:val="00951401"/>
    <w:rsid w:val="00953B08"/>
    <w:rsid w:val="0096443E"/>
    <w:rsid w:val="0096511A"/>
    <w:rsid w:val="00973CEB"/>
    <w:rsid w:val="00982288"/>
    <w:rsid w:val="00990D1C"/>
    <w:rsid w:val="00992050"/>
    <w:rsid w:val="00993A9A"/>
    <w:rsid w:val="009B2D0C"/>
    <w:rsid w:val="009B46B2"/>
    <w:rsid w:val="009C55CA"/>
    <w:rsid w:val="009C636E"/>
    <w:rsid w:val="009C7681"/>
    <w:rsid w:val="009D0735"/>
    <w:rsid w:val="009D22FD"/>
    <w:rsid w:val="009D388F"/>
    <w:rsid w:val="009D742A"/>
    <w:rsid w:val="009E0518"/>
    <w:rsid w:val="009E084C"/>
    <w:rsid w:val="009E0B72"/>
    <w:rsid w:val="009E6CFC"/>
    <w:rsid w:val="009E7424"/>
    <w:rsid w:val="009F029E"/>
    <w:rsid w:val="009F202E"/>
    <w:rsid w:val="009F4407"/>
    <w:rsid w:val="009F728C"/>
    <w:rsid w:val="00A074F9"/>
    <w:rsid w:val="00A07C73"/>
    <w:rsid w:val="00A1017C"/>
    <w:rsid w:val="00A11A8E"/>
    <w:rsid w:val="00A21E71"/>
    <w:rsid w:val="00A222DE"/>
    <w:rsid w:val="00A22CA9"/>
    <w:rsid w:val="00A239AC"/>
    <w:rsid w:val="00A26475"/>
    <w:rsid w:val="00A2736A"/>
    <w:rsid w:val="00A273ED"/>
    <w:rsid w:val="00A32812"/>
    <w:rsid w:val="00A36EC0"/>
    <w:rsid w:val="00A41F71"/>
    <w:rsid w:val="00A42B62"/>
    <w:rsid w:val="00A47E99"/>
    <w:rsid w:val="00A500F2"/>
    <w:rsid w:val="00A5257E"/>
    <w:rsid w:val="00A53DBB"/>
    <w:rsid w:val="00A55F89"/>
    <w:rsid w:val="00A6106D"/>
    <w:rsid w:val="00A65406"/>
    <w:rsid w:val="00A70973"/>
    <w:rsid w:val="00A73D10"/>
    <w:rsid w:val="00A759D5"/>
    <w:rsid w:val="00A76657"/>
    <w:rsid w:val="00A8350A"/>
    <w:rsid w:val="00A85188"/>
    <w:rsid w:val="00A90C4B"/>
    <w:rsid w:val="00A95141"/>
    <w:rsid w:val="00AB0B3A"/>
    <w:rsid w:val="00AB35CA"/>
    <w:rsid w:val="00AC2252"/>
    <w:rsid w:val="00AC306B"/>
    <w:rsid w:val="00AC3F42"/>
    <w:rsid w:val="00AC4439"/>
    <w:rsid w:val="00AC5C25"/>
    <w:rsid w:val="00AE0C60"/>
    <w:rsid w:val="00AE5901"/>
    <w:rsid w:val="00AE68DA"/>
    <w:rsid w:val="00AF252D"/>
    <w:rsid w:val="00B01C2E"/>
    <w:rsid w:val="00B02A74"/>
    <w:rsid w:val="00B06D03"/>
    <w:rsid w:val="00B132AE"/>
    <w:rsid w:val="00B13360"/>
    <w:rsid w:val="00B164E5"/>
    <w:rsid w:val="00B1774F"/>
    <w:rsid w:val="00B259FE"/>
    <w:rsid w:val="00B25CA8"/>
    <w:rsid w:val="00B3371C"/>
    <w:rsid w:val="00B37149"/>
    <w:rsid w:val="00B37B6B"/>
    <w:rsid w:val="00B40362"/>
    <w:rsid w:val="00B449DB"/>
    <w:rsid w:val="00B45ADB"/>
    <w:rsid w:val="00B530B9"/>
    <w:rsid w:val="00B534DD"/>
    <w:rsid w:val="00B615F5"/>
    <w:rsid w:val="00B67A3F"/>
    <w:rsid w:val="00B72DBD"/>
    <w:rsid w:val="00B77573"/>
    <w:rsid w:val="00B8658D"/>
    <w:rsid w:val="00B87F74"/>
    <w:rsid w:val="00B90543"/>
    <w:rsid w:val="00B94EC6"/>
    <w:rsid w:val="00B9550D"/>
    <w:rsid w:val="00B9566E"/>
    <w:rsid w:val="00B96B93"/>
    <w:rsid w:val="00BA041E"/>
    <w:rsid w:val="00BA5732"/>
    <w:rsid w:val="00BB068D"/>
    <w:rsid w:val="00BB1BD4"/>
    <w:rsid w:val="00BB6961"/>
    <w:rsid w:val="00BC05AD"/>
    <w:rsid w:val="00BC2FC3"/>
    <w:rsid w:val="00BC46AA"/>
    <w:rsid w:val="00BC47C9"/>
    <w:rsid w:val="00BC63CC"/>
    <w:rsid w:val="00BC7940"/>
    <w:rsid w:val="00BD07E3"/>
    <w:rsid w:val="00BD5E79"/>
    <w:rsid w:val="00BE1593"/>
    <w:rsid w:val="00BE1F7C"/>
    <w:rsid w:val="00BE4708"/>
    <w:rsid w:val="00BE51DD"/>
    <w:rsid w:val="00BE66DA"/>
    <w:rsid w:val="00BF0FC6"/>
    <w:rsid w:val="00BF7730"/>
    <w:rsid w:val="00C016DD"/>
    <w:rsid w:val="00C02602"/>
    <w:rsid w:val="00C1078A"/>
    <w:rsid w:val="00C119B6"/>
    <w:rsid w:val="00C1209D"/>
    <w:rsid w:val="00C150E1"/>
    <w:rsid w:val="00C15690"/>
    <w:rsid w:val="00C17858"/>
    <w:rsid w:val="00C21934"/>
    <w:rsid w:val="00C223D8"/>
    <w:rsid w:val="00C25666"/>
    <w:rsid w:val="00C2637F"/>
    <w:rsid w:val="00C278CD"/>
    <w:rsid w:val="00C31062"/>
    <w:rsid w:val="00C3188F"/>
    <w:rsid w:val="00C33E10"/>
    <w:rsid w:val="00C36D17"/>
    <w:rsid w:val="00C44E82"/>
    <w:rsid w:val="00C4678D"/>
    <w:rsid w:val="00C504BA"/>
    <w:rsid w:val="00C57225"/>
    <w:rsid w:val="00C65F6D"/>
    <w:rsid w:val="00C6629B"/>
    <w:rsid w:val="00C676BE"/>
    <w:rsid w:val="00C72940"/>
    <w:rsid w:val="00C73124"/>
    <w:rsid w:val="00C74074"/>
    <w:rsid w:val="00C752CC"/>
    <w:rsid w:val="00C75527"/>
    <w:rsid w:val="00C855C7"/>
    <w:rsid w:val="00C87730"/>
    <w:rsid w:val="00C87E1B"/>
    <w:rsid w:val="00C92BFB"/>
    <w:rsid w:val="00C93650"/>
    <w:rsid w:val="00C93B96"/>
    <w:rsid w:val="00C975B5"/>
    <w:rsid w:val="00C97DAA"/>
    <w:rsid w:val="00CA003D"/>
    <w:rsid w:val="00CA2DB6"/>
    <w:rsid w:val="00CA6E10"/>
    <w:rsid w:val="00CB3E2B"/>
    <w:rsid w:val="00CB47C8"/>
    <w:rsid w:val="00CC2706"/>
    <w:rsid w:val="00CC4A7F"/>
    <w:rsid w:val="00CD0111"/>
    <w:rsid w:val="00CD6DC6"/>
    <w:rsid w:val="00CE34C5"/>
    <w:rsid w:val="00CE5870"/>
    <w:rsid w:val="00CF081D"/>
    <w:rsid w:val="00CF4F2D"/>
    <w:rsid w:val="00CF6E6D"/>
    <w:rsid w:val="00D0020E"/>
    <w:rsid w:val="00D03508"/>
    <w:rsid w:val="00D05CF1"/>
    <w:rsid w:val="00D05E5E"/>
    <w:rsid w:val="00D0766B"/>
    <w:rsid w:val="00D22EB9"/>
    <w:rsid w:val="00D252B7"/>
    <w:rsid w:val="00D31E10"/>
    <w:rsid w:val="00D32626"/>
    <w:rsid w:val="00D40793"/>
    <w:rsid w:val="00D42A8B"/>
    <w:rsid w:val="00D4761E"/>
    <w:rsid w:val="00D50A0D"/>
    <w:rsid w:val="00D5602A"/>
    <w:rsid w:val="00D57B5B"/>
    <w:rsid w:val="00D60DA1"/>
    <w:rsid w:val="00D616AE"/>
    <w:rsid w:val="00D650A7"/>
    <w:rsid w:val="00D70EA8"/>
    <w:rsid w:val="00D72E7A"/>
    <w:rsid w:val="00D7350C"/>
    <w:rsid w:val="00D757EC"/>
    <w:rsid w:val="00D75FF2"/>
    <w:rsid w:val="00D77AEE"/>
    <w:rsid w:val="00D855FD"/>
    <w:rsid w:val="00D864C8"/>
    <w:rsid w:val="00D91A7F"/>
    <w:rsid w:val="00D94404"/>
    <w:rsid w:val="00D94B86"/>
    <w:rsid w:val="00D94C28"/>
    <w:rsid w:val="00DA5AB4"/>
    <w:rsid w:val="00DA60A1"/>
    <w:rsid w:val="00DA639E"/>
    <w:rsid w:val="00DB1FE9"/>
    <w:rsid w:val="00DC611E"/>
    <w:rsid w:val="00DD1ED7"/>
    <w:rsid w:val="00DD3351"/>
    <w:rsid w:val="00DE6620"/>
    <w:rsid w:val="00DF367B"/>
    <w:rsid w:val="00E00C79"/>
    <w:rsid w:val="00E00E8F"/>
    <w:rsid w:val="00E058F4"/>
    <w:rsid w:val="00E11D9A"/>
    <w:rsid w:val="00E15652"/>
    <w:rsid w:val="00E21087"/>
    <w:rsid w:val="00E24DFE"/>
    <w:rsid w:val="00E27E7A"/>
    <w:rsid w:val="00E32AEB"/>
    <w:rsid w:val="00E333CA"/>
    <w:rsid w:val="00E376F3"/>
    <w:rsid w:val="00E4017E"/>
    <w:rsid w:val="00E45BCE"/>
    <w:rsid w:val="00E460CD"/>
    <w:rsid w:val="00E47D92"/>
    <w:rsid w:val="00E5183A"/>
    <w:rsid w:val="00E54034"/>
    <w:rsid w:val="00E54227"/>
    <w:rsid w:val="00E542BC"/>
    <w:rsid w:val="00E54BEE"/>
    <w:rsid w:val="00E559B5"/>
    <w:rsid w:val="00E608FA"/>
    <w:rsid w:val="00E64298"/>
    <w:rsid w:val="00E72519"/>
    <w:rsid w:val="00E72E97"/>
    <w:rsid w:val="00E7474D"/>
    <w:rsid w:val="00E75980"/>
    <w:rsid w:val="00E76282"/>
    <w:rsid w:val="00E828E0"/>
    <w:rsid w:val="00E82E23"/>
    <w:rsid w:val="00E85545"/>
    <w:rsid w:val="00E85FBC"/>
    <w:rsid w:val="00E91AE1"/>
    <w:rsid w:val="00E94654"/>
    <w:rsid w:val="00E9588B"/>
    <w:rsid w:val="00E9675A"/>
    <w:rsid w:val="00EB4011"/>
    <w:rsid w:val="00EC26DC"/>
    <w:rsid w:val="00EC27FB"/>
    <w:rsid w:val="00EC59A8"/>
    <w:rsid w:val="00EC63B7"/>
    <w:rsid w:val="00ED5006"/>
    <w:rsid w:val="00ED55B7"/>
    <w:rsid w:val="00EE014E"/>
    <w:rsid w:val="00EE2D3C"/>
    <w:rsid w:val="00EE3678"/>
    <w:rsid w:val="00EE7B8A"/>
    <w:rsid w:val="00EE7D97"/>
    <w:rsid w:val="00EF5925"/>
    <w:rsid w:val="00EF597C"/>
    <w:rsid w:val="00EF64B9"/>
    <w:rsid w:val="00F06295"/>
    <w:rsid w:val="00F13818"/>
    <w:rsid w:val="00F1529B"/>
    <w:rsid w:val="00F16E57"/>
    <w:rsid w:val="00F16E71"/>
    <w:rsid w:val="00F3012A"/>
    <w:rsid w:val="00F33280"/>
    <w:rsid w:val="00F403AB"/>
    <w:rsid w:val="00F4111E"/>
    <w:rsid w:val="00F41D63"/>
    <w:rsid w:val="00F42F08"/>
    <w:rsid w:val="00F434F3"/>
    <w:rsid w:val="00F46010"/>
    <w:rsid w:val="00F46D18"/>
    <w:rsid w:val="00F57077"/>
    <w:rsid w:val="00F57AC0"/>
    <w:rsid w:val="00F610EC"/>
    <w:rsid w:val="00F61DE7"/>
    <w:rsid w:val="00F624B6"/>
    <w:rsid w:val="00F7533E"/>
    <w:rsid w:val="00F7632F"/>
    <w:rsid w:val="00F76D44"/>
    <w:rsid w:val="00F80F5C"/>
    <w:rsid w:val="00F830C3"/>
    <w:rsid w:val="00F8366B"/>
    <w:rsid w:val="00F84C93"/>
    <w:rsid w:val="00F869B5"/>
    <w:rsid w:val="00F919B5"/>
    <w:rsid w:val="00F9229A"/>
    <w:rsid w:val="00F92940"/>
    <w:rsid w:val="00F962BF"/>
    <w:rsid w:val="00F96AD7"/>
    <w:rsid w:val="00FA133D"/>
    <w:rsid w:val="00FA6CB0"/>
    <w:rsid w:val="00FB2FBE"/>
    <w:rsid w:val="00FB7355"/>
    <w:rsid w:val="00FC0415"/>
    <w:rsid w:val="00FC0BBD"/>
    <w:rsid w:val="00FC3446"/>
    <w:rsid w:val="00FC4970"/>
    <w:rsid w:val="00FC4C24"/>
    <w:rsid w:val="00FD26CB"/>
    <w:rsid w:val="00FD39E4"/>
    <w:rsid w:val="00FD4DED"/>
    <w:rsid w:val="00FE4D33"/>
    <w:rsid w:val="00FE70F6"/>
    <w:rsid w:val="00FF71BA"/>
    <w:rsid w:val="00FF7A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550D"/>
    <w:pPr>
      <w:ind w:left="720"/>
      <w:contextualSpacing/>
    </w:pPr>
  </w:style>
  <w:style w:type="table" w:styleId="Tablaconcuadrcula">
    <w:name w:val="Table Grid"/>
    <w:basedOn w:val="Tablanormal"/>
    <w:uiPriority w:val="59"/>
    <w:rsid w:val="008C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E16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669"/>
    <w:rPr>
      <w:rFonts w:ascii="Tahoma" w:hAnsi="Tahoma" w:cs="Tahoma"/>
      <w:sz w:val="16"/>
      <w:szCs w:val="16"/>
    </w:rPr>
  </w:style>
  <w:style w:type="paragraph" w:styleId="Encabezado">
    <w:name w:val="header"/>
    <w:basedOn w:val="Normal"/>
    <w:link w:val="EncabezadoCar"/>
    <w:uiPriority w:val="99"/>
    <w:unhideWhenUsed/>
    <w:rsid w:val="009D07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735"/>
  </w:style>
  <w:style w:type="paragraph" w:styleId="Piedepgina">
    <w:name w:val="footer"/>
    <w:basedOn w:val="Normal"/>
    <w:link w:val="PiedepginaCar"/>
    <w:uiPriority w:val="99"/>
    <w:unhideWhenUsed/>
    <w:rsid w:val="009D07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0735"/>
  </w:style>
  <w:style w:type="character" w:styleId="Hipervnculo">
    <w:name w:val="Hyperlink"/>
    <w:basedOn w:val="Fuentedeprrafopredeter"/>
    <w:uiPriority w:val="99"/>
    <w:unhideWhenUsed/>
    <w:rsid w:val="00A47E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550D"/>
    <w:pPr>
      <w:ind w:left="720"/>
      <w:contextualSpacing/>
    </w:pPr>
  </w:style>
  <w:style w:type="table" w:styleId="Tablaconcuadrcula">
    <w:name w:val="Table Grid"/>
    <w:basedOn w:val="Tablanormal"/>
    <w:uiPriority w:val="59"/>
    <w:rsid w:val="008C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E16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669"/>
    <w:rPr>
      <w:rFonts w:ascii="Tahoma" w:hAnsi="Tahoma" w:cs="Tahoma"/>
      <w:sz w:val="16"/>
      <w:szCs w:val="16"/>
    </w:rPr>
  </w:style>
  <w:style w:type="paragraph" w:styleId="Encabezado">
    <w:name w:val="header"/>
    <w:basedOn w:val="Normal"/>
    <w:link w:val="EncabezadoCar"/>
    <w:uiPriority w:val="99"/>
    <w:unhideWhenUsed/>
    <w:rsid w:val="009D07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735"/>
  </w:style>
  <w:style w:type="paragraph" w:styleId="Piedepgina">
    <w:name w:val="footer"/>
    <w:basedOn w:val="Normal"/>
    <w:link w:val="PiedepginaCar"/>
    <w:uiPriority w:val="99"/>
    <w:unhideWhenUsed/>
    <w:rsid w:val="009D07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0735"/>
  </w:style>
  <w:style w:type="character" w:styleId="Hipervnculo">
    <w:name w:val="Hyperlink"/>
    <w:basedOn w:val="Fuentedeprrafopredeter"/>
    <w:uiPriority w:val="99"/>
    <w:unhideWhenUsed/>
    <w:rsid w:val="00A47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4270">
      <w:bodyDiv w:val="1"/>
      <w:marLeft w:val="0"/>
      <w:marRight w:val="0"/>
      <w:marTop w:val="0"/>
      <w:marBottom w:val="0"/>
      <w:divBdr>
        <w:top w:val="none" w:sz="0" w:space="0" w:color="auto"/>
        <w:left w:val="none" w:sz="0" w:space="0" w:color="auto"/>
        <w:bottom w:val="none" w:sz="0" w:space="0" w:color="auto"/>
        <w:right w:val="none" w:sz="0" w:space="0" w:color="auto"/>
      </w:divBdr>
    </w:div>
    <w:div w:id="156842615">
      <w:bodyDiv w:val="1"/>
      <w:marLeft w:val="0"/>
      <w:marRight w:val="0"/>
      <w:marTop w:val="0"/>
      <w:marBottom w:val="0"/>
      <w:divBdr>
        <w:top w:val="none" w:sz="0" w:space="0" w:color="auto"/>
        <w:left w:val="none" w:sz="0" w:space="0" w:color="auto"/>
        <w:bottom w:val="none" w:sz="0" w:space="0" w:color="auto"/>
        <w:right w:val="none" w:sz="0" w:space="0" w:color="auto"/>
      </w:divBdr>
    </w:div>
    <w:div w:id="1119954827">
      <w:bodyDiv w:val="1"/>
      <w:marLeft w:val="0"/>
      <w:marRight w:val="0"/>
      <w:marTop w:val="0"/>
      <w:marBottom w:val="0"/>
      <w:divBdr>
        <w:top w:val="none" w:sz="0" w:space="0" w:color="auto"/>
        <w:left w:val="none" w:sz="0" w:space="0" w:color="auto"/>
        <w:bottom w:val="none" w:sz="0" w:space="0" w:color="auto"/>
        <w:right w:val="none" w:sz="0" w:space="0" w:color="auto"/>
      </w:divBdr>
    </w:div>
    <w:div w:id="1137836113">
      <w:bodyDiv w:val="1"/>
      <w:marLeft w:val="0"/>
      <w:marRight w:val="0"/>
      <w:marTop w:val="0"/>
      <w:marBottom w:val="0"/>
      <w:divBdr>
        <w:top w:val="none" w:sz="0" w:space="0" w:color="auto"/>
        <w:left w:val="none" w:sz="0" w:space="0" w:color="auto"/>
        <w:bottom w:val="none" w:sz="0" w:space="0" w:color="auto"/>
        <w:right w:val="none" w:sz="0" w:space="0" w:color="auto"/>
      </w:divBdr>
    </w:div>
    <w:div w:id="1348289216">
      <w:bodyDiv w:val="1"/>
      <w:marLeft w:val="0"/>
      <w:marRight w:val="0"/>
      <w:marTop w:val="0"/>
      <w:marBottom w:val="0"/>
      <w:divBdr>
        <w:top w:val="none" w:sz="0" w:space="0" w:color="auto"/>
        <w:left w:val="none" w:sz="0" w:space="0" w:color="auto"/>
        <w:bottom w:val="none" w:sz="0" w:space="0" w:color="auto"/>
        <w:right w:val="none" w:sz="0" w:space="0" w:color="auto"/>
      </w:divBdr>
    </w:div>
    <w:div w:id="19602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eatromarianomatamoros@gmail.co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6BE22-22F7-4D47-9A38-612C8A07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2818</Words>
  <Characters>15504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useren</dc:creator>
  <cp:lastModifiedBy>useren</cp:lastModifiedBy>
  <cp:revision>2</cp:revision>
  <cp:lastPrinted>2022-04-19T20:12:00Z</cp:lastPrinted>
  <dcterms:created xsi:type="dcterms:W3CDTF">2022-04-19T20:13:00Z</dcterms:created>
  <dcterms:modified xsi:type="dcterms:W3CDTF">2022-04-19T20:13:00Z</dcterms:modified>
</cp:coreProperties>
</file>